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1465" w14:textId="77777777" w:rsidR="005E20A6" w:rsidRPr="00B7420B" w:rsidRDefault="00530B2C" w:rsidP="00B7420B">
      <w:pPr>
        <w:jc w:val="center"/>
        <w:rPr>
          <w:b/>
          <w:bCs/>
        </w:rPr>
      </w:pPr>
      <w:r w:rsidRPr="00B7420B">
        <w:rPr>
          <w:b/>
          <w:bCs/>
        </w:rPr>
        <w:t xml:space="preserve">Ist das wirklich schwer? Die </w:t>
      </w:r>
      <w:r w:rsidR="006711FE">
        <w:rPr>
          <w:b/>
          <w:bCs/>
        </w:rPr>
        <w:t>Schwierigkeit komplexer</w:t>
      </w:r>
      <w:r w:rsidRPr="00B7420B">
        <w:rPr>
          <w:b/>
          <w:bCs/>
        </w:rPr>
        <w:t xml:space="preserve"> Phänomene auf dem Prüfstand</w:t>
      </w:r>
    </w:p>
    <w:p w14:paraId="4D5F1466" w14:textId="77777777" w:rsidR="00530B2C" w:rsidRDefault="00530B2C" w:rsidP="00530B2C"/>
    <w:p w14:paraId="4D5F1467" w14:textId="77777777" w:rsidR="00B7420B" w:rsidRDefault="00530B2C" w:rsidP="00530B2C">
      <w:r>
        <w:t>In der Sprachdidaktik sehen sich Lehrende immer wieder mit der Frage konfrontiert, welche sprachlichen Phänomene des Deutschen für Le</w:t>
      </w:r>
      <w:r w:rsidR="00B7420B">
        <w:t>rn</w:t>
      </w:r>
      <w:r>
        <w:t xml:space="preserve">ende schwierig sind bzw. wie diese vereinfacht werden können. </w:t>
      </w:r>
      <w:r w:rsidR="006711FE">
        <w:t xml:space="preserve">Dabei haben sich bestimmte Schwierigkeitshierarchien etabliert, wie sie sich etwa – basierend auf den Kompetenzskalen des Gemeinsamen europäischen Referenzrahmens – in bestimmten Grammatikprogressionen fremdsprachendidaktischer Materialien für die Niveaustufen A1 bis C2 zeigen (vgl. Müller/Siebold 2021) oder im Ratgeber für Leichte Sprache in inklusiven Lehr-/Lernkontexten (vgl. Bredel 2017). </w:t>
      </w:r>
      <w:r w:rsidR="00B7420B">
        <w:t>Auch die sog</w:t>
      </w:r>
      <w:r w:rsidR="006711FE">
        <w:t>enannte</w:t>
      </w:r>
      <w:r w:rsidR="00B7420B">
        <w:t xml:space="preserve"> Bildungssprache wird häufig mit besonderen sprachlichen Anforderungen assoziiert, etwa durch die Verwendung des Passivs oder den Gebrauch von Nominalisierungen</w:t>
      </w:r>
      <w:r w:rsidR="00912682">
        <w:t xml:space="preserve"> (Feilke 2012; Gogolin/Duarte 2016)</w:t>
      </w:r>
      <w:r w:rsidR="00B7420B">
        <w:t xml:space="preserve">. </w:t>
      </w:r>
    </w:p>
    <w:p w14:paraId="4D5F1468" w14:textId="77777777" w:rsidR="00B7420B" w:rsidRDefault="00B7420B" w:rsidP="00530B2C">
      <w:r>
        <w:t>Während diese sprachlichen Hierarchien häufig intuitiv oder erfahrungsbasiert Anwendung im unterrichtlichen Kontext finden und auch in der Forschung die Grundlage sprachdidaktischer Ansätze darstellen, fehl</w:t>
      </w:r>
      <w:r w:rsidR="006711FE">
        <w:t>en</w:t>
      </w:r>
      <w:r>
        <w:t xml:space="preserve"> aber </w:t>
      </w:r>
      <w:r w:rsidR="00044A07">
        <w:t>bislang</w:t>
      </w:r>
      <w:r>
        <w:t xml:space="preserve"> </w:t>
      </w:r>
      <w:r w:rsidR="006711FE">
        <w:t>umfassende</w:t>
      </w:r>
      <w:r>
        <w:t xml:space="preserve"> empirische Nachweis</w:t>
      </w:r>
      <w:r w:rsidR="006711FE">
        <w:t>e</w:t>
      </w:r>
      <w:r>
        <w:t xml:space="preserve"> für diese Hierarchien. Sind also bestimmte sprachliche Phänomene </w:t>
      </w:r>
      <w:r w:rsidR="00044A07">
        <w:t>tatsächlich</w:t>
      </w:r>
      <w:r>
        <w:t xml:space="preserve"> schwerer zu </w:t>
      </w:r>
      <w:r w:rsidR="006711FE">
        <w:t xml:space="preserve">erwerben </w:t>
      </w:r>
      <w:r>
        <w:t xml:space="preserve">als andere? Dies </w:t>
      </w:r>
      <w:r w:rsidR="00044A07">
        <w:t>ist die zentrale Frage</w:t>
      </w:r>
      <w:r>
        <w:t xml:space="preserve">, </w:t>
      </w:r>
      <w:r w:rsidR="006711FE">
        <w:t xml:space="preserve">der wir anhand einer Untersuchung komplexer sprachlicher Strukturen mit einem Blickbewegungsexperiment nachgegangen sind. </w:t>
      </w:r>
    </w:p>
    <w:p w14:paraId="4D5F1469" w14:textId="77777777" w:rsidR="00530B2C" w:rsidRDefault="006711FE" w:rsidP="00530B2C">
      <w:r>
        <w:t>Konkret</w:t>
      </w:r>
      <w:r w:rsidR="00044A07">
        <w:t xml:space="preserve"> haben wir die Verarbeitung bestimmter sprachlicher Phänomene durch deutsche Muttersprachler sowie fortgeschrittene Deutschlernende mit Chinesisch als L1 </w:t>
      </w:r>
      <w:r w:rsidR="00A14176">
        <w:t>in den Blick genommen</w:t>
      </w:r>
      <w:r w:rsidR="00044A07">
        <w:t xml:space="preserve">. Gegenstand waren drei </w:t>
      </w:r>
      <w:r>
        <w:t>komplexe</w:t>
      </w:r>
      <w:r w:rsidR="00044A07">
        <w:t xml:space="preserve"> sprachliche Strukturen, die in der Praxis häufig mit besondere</w:t>
      </w:r>
      <w:r>
        <w:t>n Erwerbsschwierigkeiten</w:t>
      </w:r>
      <w:r w:rsidR="00044A07">
        <w:t xml:space="preserve"> verknüpft werden:</w:t>
      </w:r>
    </w:p>
    <w:p w14:paraId="4D5F146A" w14:textId="77777777" w:rsidR="00044A07" w:rsidRDefault="00044A07" w:rsidP="00044A07">
      <w:pPr>
        <w:pStyle w:val="Listenabsatz"/>
        <w:numPr>
          <w:ilvl w:val="0"/>
          <w:numId w:val="1"/>
        </w:numPr>
      </w:pPr>
      <w:r>
        <w:t>Nominalisierungen (vs. Verbalisierungen)</w:t>
      </w:r>
    </w:p>
    <w:p w14:paraId="4D5F146B" w14:textId="77777777" w:rsidR="00044A07" w:rsidRDefault="00044A07" w:rsidP="00044A07">
      <w:pPr>
        <w:pStyle w:val="Listenabsatz"/>
        <w:numPr>
          <w:ilvl w:val="0"/>
          <w:numId w:val="1"/>
        </w:numPr>
      </w:pPr>
      <w:r>
        <w:t>Kasus (vs. Präpositionalphrasen)</w:t>
      </w:r>
    </w:p>
    <w:p w14:paraId="4D5F146C" w14:textId="77777777" w:rsidR="00044A07" w:rsidRDefault="00044A07" w:rsidP="00044A07">
      <w:pPr>
        <w:pStyle w:val="Listenabsatz"/>
        <w:numPr>
          <w:ilvl w:val="0"/>
          <w:numId w:val="1"/>
        </w:numPr>
      </w:pPr>
      <w:r>
        <w:t>Passiv (vs. Aktiv)</w:t>
      </w:r>
    </w:p>
    <w:p w14:paraId="4D5F146D" w14:textId="77777777" w:rsidR="00F3361B" w:rsidRDefault="006711FE" w:rsidP="00044A07">
      <w:r>
        <w:t xml:space="preserve">In der Blickbewegungsstudie wurden den </w:t>
      </w:r>
      <w:proofErr w:type="spellStart"/>
      <w:r>
        <w:t>Proband:innen</w:t>
      </w:r>
      <w:proofErr w:type="spellEnd"/>
      <w:r>
        <w:t xml:space="preserve"> Sätze mit den genannten Phänomenen dargeboten und die Blickdauer und Lesezeit der alternativen Strukturen miteinander verglichen. </w:t>
      </w:r>
      <w:r w:rsidR="00F3361B">
        <w:t>Die vorläufigen Ergebnisse zeigen, dass</w:t>
      </w:r>
    </w:p>
    <w:p w14:paraId="4D5F146E" w14:textId="77777777" w:rsidR="00F3361B" w:rsidRDefault="00F3361B" w:rsidP="00F3361B">
      <w:pPr>
        <w:pStyle w:val="Listenabsatz"/>
        <w:numPr>
          <w:ilvl w:val="0"/>
          <w:numId w:val="2"/>
        </w:numPr>
      </w:pPr>
      <w:r>
        <w:t xml:space="preserve">Nominalisierungen prinzipiell schwieriger zu verarbeiten sind als Verbalisierungen, dieser Effekt jedoch bei den chinesischen </w:t>
      </w:r>
      <w:proofErr w:type="spellStart"/>
      <w:r>
        <w:t>Muttersprachler</w:t>
      </w:r>
      <w:r w:rsidR="006711FE">
        <w:t>:innen</w:t>
      </w:r>
      <w:proofErr w:type="spellEnd"/>
      <w:r>
        <w:t xml:space="preserve"> deutlich</w:t>
      </w:r>
      <w:r w:rsidR="00224226">
        <w:t>er</w:t>
      </w:r>
      <w:r>
        <w:t xml:space="preserve"> ausgeprägt </w:t>
      </w:r>
      <w:r w:rsidR="00912682">
        <w:t>ist</w:t>
      </w:r>
      <w:r w:rsidR="006711FE">
        <w:t xml:space="preserve"> (vgl. Abbildung 1).</w:t>
      </w:r>
    </w:p>
    <w:p w14:paraId="4D5F146F" w14:textId="77777777" w:rsidR="00F3361B" w:rsidRDefault="00F3361B" w:rsidP="00F3361B">
      <w:pPr>
        <w:pStyle w:val="Listenabsatz"/>
        <w:numPr>
          <w:ilvl w:val="0"/>
          <w:numId w:val="2"/>
        </w:numPr>
      </w:pPr>
      <w:r>
        <w:t xml:space="preserve">Nominalphrasen mit Kasusmarkierung für deutsche </w:t>
      </w:r>
      <w:proofErr w:type="spellStart"/>
      <w:r>
        <w:t>Muttersprachler</w:t>
      </w:r>
      <w:r w:rsidR="006711FE">
        <w:t>:innen</w:t>
      </w:r>
      <w:proofErr w:type="spellEnd"/>
      <w:r>
        <w:t xml:space="preserve"> tendenziell leichter zu verarbeiten sind als entsprechende Präpositionalphrasen, bei den chinesischen </w:t>
      </w:r>
      <w:proofErr w:type="spellStart"/>
      <w:r>
        <w:t>Muttersprachler</w:t>
      </w:r>
      <w:r w:rsidR="006711FE">
        <w:t>:innen</w:t>
      </w:r>
      <w:proofErr w:type="spellEnd"/>
      <w:r>
        <w:t xml:space="preserve"> jedoch ein gegenteiliger Effekt zu beobachten ist</w:t>
      </w:r>
      <w:r w:rsidR="006711FE">
        <w:t xml:space="preserve"> (vgl. Abbildung 2)</w:t>
      </w:r>
    </w:p>
    <w:p w14:paraId="4D5F1470" w14:textId="77777777" w:rsidR="00F3361B" w:rsidRDefault="00F3361B" w:rsidP="00F3361B">
      <w:pPr>
        <w:pStyle w:val="Listenabsatz"/>
        <w:numPr>
          <w:ilvl w:val="0"/>
          <w:numId w:val="2"/>
        </w:numPr>
      </w:pPr>
      <w:r w:rsidRPr="00217EE5">
        <w:t xml:space="preserve">Passivkonstruktionen </w:t>
      </w:r>
      <w:r w:rsidR="00217EE5" w:rsidRPr="00217EE5">
        <w:t xml:space="preserve">bei den deutschen </w:t>
      </w:r>
      <w:proofErr w:type="spellStart"/>
      <w:r w:rsidR="00217EE5" w:rsidRPr="00217EE5">
        <w:t>Muttersprachler:innen</w:t>
      </w:r>
      <w:proofErr w:type="spellEnd"/>
      <w:r w:rsidR="00217EE5" w:rsidRPr="00217EE5">
        <w:t xml:space="preserve"> mit höh</w:t>
      </w:r>
      <w:r w:rsidR="00217EE5">
        <w:t>e</w:t>
      </w:r>
      <w:r w:rsidR="00217EE5" w:rsidRPr="00217EE5">
        <w:t xml:space="preserve">ren, bei den chinesischen </w:t>
      </w:r>
      <w:proofErr w:type="spellStart"/>
      <w:r w:rsidR="00217EE5" w:rsidRPr="00217EE5">
        <w:t>Muttersprachler:innen</w:t>
      </w:r>
      <w:proofErr w:type="spellEnd"/>
      <w:r w:rsidR="00217EE5" w:rsidRPr="00217EE5">
        <w:t xml:space="preserve"> hingegen mit geringeren Verarbeitungskosten verbunden </w:t>
      </w:r>
      <w:r w:rsidR="00912682">
        <w:t>sind</w:t>
      </w:r>
      <w:r w:rsidR="00224226">
        <w:t xml:space="preserve"> </w:t>
      </w:r>
      <w:r w:rsidR="00217EE5" w:rsidRPr="00217EE5">
        <w:t>als Aktivkonstruktionen</w:t>
      </w:r>
      <w:r w:rsidR="00217EE5">
        <w:t xml:space="preserve"> </w:t>
      </w:r>
      <w:r w:rsidR="006711FE" w:rsidRPr="00217EE5">
        <w:t>(</w:t>
      </w:r>
      <w:r w:rsidR="006711FE">
        <w:t>vgl. Abbildung 3).</w:t>
      </w:r>
    </w:p>
    <w:p w14:paraId="4D5F1471" w14:textId="77777777" w:rsidR="006711FE" w:rsidRDefault="00F3361B" w:rsidP="00530B2C">
      <w:r>
        <w:t xml:space="preserve">Damit validieren diese Ergebnisse teilweise bisherige Annahmen, </w:t>
      </w:r>
      <w:r w:rsidR="00A14176">
        <w:t>weisen</w:t>
      </w:r>
      <w:r>
        <w:t xml:space="preserve"> aber auch </w:t>
      </w:r>
      <w:r w:rsidR="00A14176">
        <w:t xml:space="preserve">auf </w:t>
      </w:r>
      <w:r>
        <w:t xml:space="preserve">kontraintuitive </w:t>
      </w:r>
      <w:r w:rsidR="00912682">
        <w:t>Befunde</w:t>
      </w:r>
      <w:r w:rsidR="00196297">
        <w:t xml:space="preserve"> </w:t>
      </w:r>
      <w:r w:rsidR="00A14176">
        <w:t>hin</w:t>
      </w:r>
      <w:r w:rsidR="00196297">
        <w:t>, etwa beim Passiv. Die</w:t>
      </w:r>
      <w:r w:rsidR="00912682">
        <w:t xml:space="preserve"> Studie</w:t>
      </w:r>
      <w:r w:rsidR="00196297">
        <w:t xml:space="preserve"> zeigt, dass es notwendig ist, die impliziten oder expliziten Annahmen über die Anforderungen sprachlicher Phänomene empirisch zu </w:t>
      </w:r>
      <w:r w:rsidR="00224226">
        <w:t>überprüfen</w:t>
      </w:r>
      <w:r w:rsidR="006711FE">
        <w:t xml:space="preserve"> und ggf. zu revidieren. </w:t>
      </w:r>
    </w:p>
    <w:p w14:paraId="4D5F1472" w14:textId="77777777" w:rsidR="00912682" w:rsidRDefault="00912682" w:rsidP="00530B2C">
      <w:pPr>
        <w:sectPr w:rsidR="00912682" w:rsidSect="00530B2C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4D5F1473" w14:textId="77777777" w:rsidR="00AB111E" w:rsidRPr="00912682" w:rsidRDefault="00912682" w:rsidP="00912682">
      <w:pPr>
        <w:rPr>
          <w:b/>
          <w:bCs/>
          <w:sz w:val="20"/>
          <w:szCs w:val="20"/>
        </w:rPr>
      </w:pPr>
      <w:r w:rsidRPr="00912682">
        <w:rPr>
          <w:b/>
          <w:bCs/>
          <w:sz w:val="20"/>
          <w:szCs w:val="20"/>
        </w:rPr>
        <w:lastRenderedPageBreak/>
        <w:t xml:space="preserve">Referenzen: </w:t>
      </w:r>
    </w:p>
    <w:p w14:paraId="4D5F1474" w14:textId="77777777" w:rsidR="00AB111E" w:rsidRPr="00912682" w:rsidRDefault="00AB111E" w:rsidP="00912682">
      <w:pPr>
        <w:spacing w:after="120"/>
        <w:ind w:left="709" w:hanging="709"/>
        <w:rPr>
          <w:sz w:val="20"/>
          <w:szCs w:val="20"/>
        </w:rPr>
      </w:pPr>
      <w:r w:rsidRPr="00912682">
        <w:rPr>
          <w:sz w:val="20"/>
          <w:szCs w:val="20"/>
        </w:rPr>
        <w:t>Bredel, Ursula (2017): Ratgeber Leichte Sprache. Die wichtigsten Empfehlungen für die Praxis. Berlin: Dudenverlag.</w:t>
      </w:r>
    </w:p>
    <w:p w14:paraId="4D5F1475" w14:textId="77777777" w:rsidR="00912682" w:rsidRPr="00912682" w:rsidRDefault="00912682" w:rsidP="00912682">
      <w:pPr>
        <w:spacing w:after="120"/>
        <w:ind w:left="709" w:hanging="709"/>
        <w:rPr>
          <w:rFonts w:eastAsia="Times New Roman"/>
          <w:color w:val="000000"/>
          <w:sz w:val="20"/>
          <w:szCs w:val="20"/>
          <w:lang w:eastAsia="de-DE"/>
        </w:rPr>
      </w:pPr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Feilke, H. (2012). Bildungssprachliche Kompetenzen </w:t>
      </w:r>
      <w:proofErr w:type="spellStart"/>
      <w:r w:rsidRPr="00912682">
        <w:rPr>
          <w:rFonts w:eastAsia="Times New Roman"/>
          <w:color w:val="000000"/>
          <w:sz w:val="20"/>
          <w:szCs w:val="20"/>
          <w:lang w:eastAsia="de-DE"/>
        </w:rPr>
        <w:t>fördern</w:t>
      </w:r>
      <w:proofErr w:type="spellEnd"/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 und entwickeln. Praxis Deutsch 233, 4-13.</w:t>
      </w:r>
    </w:p>
    <w:p w14:paraId="4D5F1476" w14:textId="77777777" w:rsidR="00912682" w:rsidRPr="00912682" w:rsidRDefault="00912682" w:rsidP="00912682">
      <w:pPr>
        <w:spacing w:after="120"/>
        <w:ind w:left="709" w:hanging="709"/>
        <w:rPr>
          <w:rFonts w:eastAsia="Times New Roman"/>
          <w:color w:val="000000"/>
          <w:sz w:val="20"/>
          <w:szCs w:val="20"/>
          <w:lang w:eastAsia="de-DE"/>
        </w:rPr>
      </w:pPr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Gogolin, I. &amp; Lange, I. (2011 ). Bildungssprache und Durchgängige Sprachbildung.  In: S. </w:t>
      </w:r>
      <w:proofErr w:type="spellStart"/>
      <w:r w:rsidRPr="00912682">
        <w:rPr>
          <w:rFonts w:eastAsia="Times New Roman"/>
          <w:color w:val="000000"/>
          <w:sz w:val="20"/>
          <w:szCs w:val="20"/>
          <w:lang w:eastAsia="de-DE"/>
        </w:rPr>
        <w:t>Fürstenau</w:t>
      </w:r>
      <w:proofErr w:type="spellEnd"/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 &amp;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Pr="00912682">
        <w:rPr>
          <w:rFonts w:eastAsia="Times New Roman"/>
          <w:color w:val="000000"/>
          <w:sz w:val="20"/>
          <w:szCs w:val="20"/>
          <w:lang w:eastAsia="de-DE"/>
        </w:rPr>
        <w:t>M. Gomolla (Hrsg.), Migration und schulischer Wandel: Mehrsprachigkeit (S. 107-127). Wiesbaden: Verlag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912682">
        <w:rPr>
          <w:rFonts w:eastAsia="Times New Roman"/>
          <w:color w:val="000000"/>
          <w:sz w:val="20"/>
          <w:szCs w:val="20"/>
          <w:lang w:eastAsia="de-DE"/>
        </w:rPr>
        <w:t>für</w:t>
      </w:r>
      <w:proofErr w:type="spellEnd"/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 Sozialwissenschaften.</w:t>
      </w:r>
    </w:p>
    <w:p w14:paraId="4D5F1477" w14:textId="77777777" w:rsidR="00AB111E" w:rsidRPr="00912682" w:rsidRDefault="00912682" w:rsidP="00912682">
      <w:pPr>
        <w:spacing w:after="120"/>
        <w:ind w:left="709" w:hanging="709"/>
        <w:rPr>
          <w:rFonts w:eastAsia="Times New Roman"/>
          <w:color w:val="000000"/>
          <w:sz w:val="20"/>
          <w:szCs w:val="20"/>
          <w:lang w:eastAsia="de-DE"/>
        </w:rPr>
      </w:pPr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Gogolin, I. &amp; Duarte, J. (2016). Bildungssprache. In: J. Kilian, B. </w:t>
      </w:r>
      <w:proofErr w:type="spellStart"/>
      <w:r w:rsidRPr="00912682">
        <w:rPr>
          <w:rFonts w:eastAsia="Times New Roman"/>
          <w:color w:val="000000"/>
          <w:sz w:val="20"/>
          <w:szCs w:val="20"/>
          <w:lang w:eastAsia="de-DE"/>
        </w:rPr>
        <w:t>Brouër</w:t>
      </w:r>
      <w:proofErr w:type="spellEnd"/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, &amp; D. </w:t>
      </w:r>
      <w:proofErr w:type="spellStart"/>
      <w:r w:rsidRPr="00912682">
        <w:rPr>
          <w:rFonts w:eastAsia="Times New Roman"/>
          <w:color w:val="000000"/>
          <w:sz w:val="20"/>
          <w:szCs w:val="20"/>
          <w:lang w:eastAsia="de-DE"/>
        </w:rPr>
        <w:t>Lüttenberg</w:t>
      </w:r>
      <w:proofErr w:type="spellEnd"/>
      <w:r w:rsidRPr="00912682">
        <w:rPr>
          <w:rFonts w:eastAsia="Times New Roman"/>
          <w:color w:val="000000"/>
          <w:sz w:val="20"/>
          <w:szCs w:val="20"/>
          <w:lang w:eastAsia="de-DE"/>
        </w:rPr>
        <w:t xml:space="preserve"> (Hrsg.), Handbuch Sprache in der Bildung (S.  478-499). Berlin: De Gruyter.</w:t>
      </w:r>
    </w:p>
    <w:p w14:paraId="4D5F1478" w14:textId="77777777" w:rsidR="00AB111E" w:rsidRPr="00912682" w:rsidRDefault="00AB111E" w:rsidP="00912682">
      <w:pPr>
        <w:spacing w:after="120"/>
        <w:ind w:left="709" w:hanging="709"/>
        <w:rPr>
          <w:sz w:val="20"/>
          <w:szCs w:val="20"/>
        </w:rPr>
      </w:pPr>
      <w:r w:rsidRPr="00912682">
        <w:rPr>
          <w:sz w:val="20"/>
          <w:szCs w:val="20"/>
        </w:rPr>
        <w:t xml:space="preserve">Müller, Jennifer / Siebold, Kathrin (2021): „Sprachlich sensibel = sprachlich simpel? Reflexionen </w:t>
      </w:r>
      <w:proofErr w:type="spellStart"/>
      <w:r w:rsidRPr="00912682">
        <w:rPr>
          <w:sz w:val="20"/>
          <w:szCs w:val="20"/>
        </w:rPr>
        <w:t>über</w:t>
      </w:r>
      <w:proofErr w:type="spellEnd"/>
      <w:r w:rsidRPr="00912682">
        <w:rPr>
          <w:sz w:val="20"/>
          <w:szCs w:val="20"/>
        </w:rPr>
        <w:t xml:space="preserve"> ein dynamisches und entwicklungsorientiertes </w:t>
      </w:r>
      <w:proofErr w:type="spellStart"/>
      <w:r w:rsidRPr="00912682">
        <w:rPr>
          <w:sz w:val="20"/>
          <w:szCs w:val="20"/>
        </w:rPr>
        <w:t>Inklusionsverständnis</w:t>
      </w:r>
      <w:proofErr w:type="spellEnd"/>
      <w:r w:rsidRPr="00912682">
        <w:rPr>
          <w:sz w:val="20"/>
          <w:szCs w:val="20"/>
        </w:rPr>
        <w:t xml:space="preserve"> im sprachsensiblen Fachunterricht.“ In: </w:t>
      </w:r>
      <w:proofErr w:type="spellStart"/>
      <w:r w:rsidRPr="00912682">
        <w:rPr>
          <w:sz w:val="20"/>
          <w:szCs w:val="20"/>
        </w:rPr>
        <w:t>Großhauser</w:t>
      </w:r>
      <w:proofErr w:type="spellEnd"/>
      <w:r w:rsidRPr="00912682">
        <w:rPr>
          <w:sz w:val="20"/>
          <w:szCs w:val="20"/>
        </w:rPr>
        <w:t xml:space="preserve">, Anna / </w:t>
      </w:r>
      <w:proofErr w:type="spellStart"/>
      <w:r w:rsidRPr="00912682">
        <w:rPr>
          <w:sz w:val="20"/>
          <w:szCs w:val="20"/>
        </w:rPr>
        <w:t>Köpfer</w:t>
      </w:r>
      <w:proofErr w:type="spellEnd"/>
      <w:r w:rsidRPr="00912682">
        <w:rPr>
          <w:sz w:val="20"/>
          <w:szCs w:val="20"/>
        </w:rPr>
        <w:t>, Andreas / Siegismund, Hanna (</w:t>
      </w:r>
      <w:proofErr w:type="spellStart"/>
      <w:r w:rsidRPr="00912682">
        <w:rPr>
          <w:sz w:val="20"/>
          <w:szCs w:val="20"/>
        </w:rPr>
        <w:t>eds</w:t>
      </w:r>
      <w:proofErr w:type="spellEnd"/>
      <w:r w:rsidRPr="00912682">
        <w:rPr>
          <w:sz w:val="20"/>
          <w:szCs w:val="20"/>
        </w:rPr>
        <w:t>.): Inklusion und Deutsch als Zweitsprache als Querschnittsaufgaben in der Lehrer*</w:t>
      </w:r>
      <w:proofErr w:type="spellStart"/>
      <w:r w:rsidRPr="00912682">
        <w:rPr>
          <w:sz w:val="20"/>
          <w:szCs w:val="20"/>
        </w:rPr>
        <w:t>innenbildung</w:t>
      </w:r>
      <w:proofErr w:type="spellEnd"/>
      <w:r w:rsidRPr="00912682">
        <w:rPr>
          <w:sz w:val="20"/>
          <w:szCs w:val="20"/>
        </w:rPr>
        <w:t xml:space="preserve"> – Konzeptuelle Entwicklungslinien und hochschuldidaktische </w:t>
      </w:r>
      <w:proofErr w:type="spellStart"/>
      <w:r w:rsidRPr="00912682">
        <w:rPr>
          <w:sz w:val="20"/>
          <w:szCs w:val="20"/>
        </w:rPr>
        <w:t>Zugänge</w:t>
      </w:r>
      <w:proofErr w:type="spellEnd"/>
      <w:r w:rsidRPr="00912682">
        <w:rPr>
          <w:sz w:val="20"/>
          <w:szCs w:val="20"/>
        </w:rPr>
        <w:t>. Wissenschaftlicher Verlag Trier (WVT), 212-232.</w:t>
      </w:r>
    </w:p>
    <w:p w14:paraId="4D5F1479" w14:textId="77777777" w:rsidR="00AB111E" w:rsidRDefault="00AB111E" w:rsidP="00530B2C"/>
    <w:p w14:paraId="4D5F147A" w14:textId="77777777" w:rsidR="00912682" w:rsidRDefault="00912682" w:rsidP="006711FE">
      <w:pPr>
        <w:rPr>
          <w:b/>
          <w:bCs/>
        </w:rPr>
      </w:pPr>
    </w:p>
    <w:p w14:paraId="4D5F147B" w14:textId="77777777" w:rsidR="006711FE" w:rsidRDefault="00912682" w:rsidP="006711F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D5F1485" wp14:editId="4D5F1486">
            <wp:simplePos x="0" y="0"/>
            <wp:positionH relativeFrom="margin">
              <wp:posOffset>-209159</wp:posOffset>
            </wp:positionH>
            <wp:positionV relativeFrom="margin">
              <wp:posOffset>2590800</wp:posOffset>
            </wp:positionV>
            <wp:extent cx="2808054" cy="2160000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5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1FE" w:rsidRPr="006711FE">
        <w:rPr>
          <w:b/>
          <w:bCs/>
        </w:rPr>
        <w:t xml:space="preserve">Abbildung </w:t>
      </w:r>
      <w:r w:rsidR="006711FE">
        <w:rPr>
          <w:b/>
          <w:bCs/>
        </w:rPr>
        <w:t>1</w:t>
      </w:r>
      <w:r w:rsidR="006711FE" w:rsidRPr="006711FE">
        <w:rPr>
          <w:b/>
          <w:bCs/>
        </w:rPr>
        <w:t xml:space="preserve">: </w:t>
      </w:r>
      <w:r w:rsidR="006711FE">
        <w:rPr>
          <w:b/>
          <w:bCs/>
        </w:rPr>
        <w:t>Nominalisierung</w:t>
      </w:r>
      <w:r w:rsidR="006711FE" w:rsidRPr="006711FE">
        <w:rPr>
          <w:b/>
          <w:bCs/>
        </w:rPr>
        <w:t xml:space="preserve"> vs. </w:t>
      </w:r>
      <w:r w:rsidR="006711FE">
        <w:rPr>
          <w:b/>
          <w:bCs/>
        </w:rPr>
        <w:t>Verbalisierung</w:t>
      </w:r>
      <w:r w:rsidR="006711FE">
        <w:t xml:space="preserve">. Dargestellt ist die durchschnittliche Total Time (in Millisekunden pro Zeichen) für die kritische Region in den beiden Bedingungen (Nominalisierung = „nach dem Rauchen einer Zigarette“ vs. Verbalisierung = „nachdem sie eine Zigarette geraucht hat“). Abkürzungen: N = Nominalisierung, V = Verbalisierung, C = chinesische </w:t>
      </w:r>
      <w:proofErr w:type="spellStart"/>
      <w:r w:rsidR="006711FE">
        <w:t>Muttersprachler:innen</w:t>
      </w:r>
      <w:proofErr w:type="spellEnd"/>
      <w:r w:rsidR="006711FE">
        <w:t xml:space="preserve">, D = deutsche </w:t>
      </w:r>
      <w:proofErr w:type="spellStart"/>
      <w:r w:rsidR="006711FE">
        <w:t>Muttersprachler:innen</w:t>
      </w:r>
      <w:proofErr w:type="spellEnd"/>
      <w:r w:rsidR="006711FE">
        <w:t>.</w:t>
      </w:r>
    </w:p>
    <w:p w14:paraId="4D5F147C" w14:textId="77777777" w:rsidR="006711FE" w:rsidRDefault="006711FE" w:rsidP="00530B2C"/>
    <w:p w14:paraId="4D5F147D" w14:textId="77777777" w:rsidR="006711FE" w:rsidRDefault="006711FE" w:rsidP="00530B2C"/>
    <w:p w14:paraId="4D5F147E" w14:textId="77777777" w:rsidR="006711FE" w:rsidRDefault="006711FE" w:rsidP="00530B2C"/>
    <w:p w14:paraId="4D5F147F" w14:textId="77777777" w:rsidR="006711FE" w:rsidRDefault="00912682" w:rsidP="00530B2C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D5F1487" wp14:editId="4D5F1488">
            <wp:simplePos x="0" y="0"/>
            <wp:positionH relativeFrom="margin">
              <wp:posOffset>-241300</wp:posOffset>
            </wp:positionH>
            <wp:positionV relativeFrom="margin">
              <wp:posOffset>4880610</wp:posOffset>
            </wp:positionV>
            <wp:extent cx="2808054" cy="2160000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5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1FE" w:rsidRPr="006711FE">
        <w:rPr>
          <w:b/>
          <w:bCs/>
        </w:rPr>
        <w:t>Abbildung 2: Kasus vs. Präpositionalphrasen</w:t>
      </w:r>
      <w:r w:rsidR="006711FE">
        <w:t xml:space="preserve">. Dargestellt ist die durchschnittliche Total Time (in Millisekunden pro Zeichen) für die kritische Region in den beiden Bedingungen (Kasus = „den Mut des Schülers“ vs. Präposition = „den Mut von dem Schüler“). Abkürzungen: K = Kasus, P = Präposition, C = chinesische </w:t>
      </w:r>
      <w:proofErr w:type="spellStart"/>
      <w:r w:rsidR="006711FE">
        <w:t>Muttersprachler:innen</w:t>
      </w:r>
      <w:proofErr w:type="spellEnd"/>
      <w:r w:rsidR="006711FE">
        <w:t xml:space="preserve">, D = deutsche </w:t>
      </w:r>
      <w:proofErr w:type="spellStart"/>
      <w:r w:rsidR="006711FE">
        <w:t>Muttersprachler:innen</w:t>
      </w:r>
      <w:proofErr w:type="spellEnd"/>
      <w:r w:rsidR="006711FE">
        <w:t>.</w:t>
      </w:r>
    </w:p>
    <w:p w14:paraId="4D5F1480" w14:textId="77777777" w:rsidR="00530B2C" w:rsidRDefault="00530B2C" w:rsidP="00530B2C">
      <w:r>
        <w:t xml:space="preserve"> </w:t>
      </w:r>
    </w:p>
    <w:p w14:paraId="4D5F1481" w14:textId="77777777" w:rsidR="00217EE5" w:rsidRDefault="00217EE5" w:rsidP="00530B2C"/>
    <w:p w14:paraId="4D5F1482" w14:textId="77777777" w:rsidR="00217EE5" w:rsidRDefault="00912682" w:rsidP="00530B2C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5F1489" wp14:editId="4D5F148A">
            <wp:simplePos x="0" y="0"/>
            <wp:positionH relativeFrom="margin">
              <wp:posOffset>-234900</wp:posOffset>
            </wp:positionH>
            <wp:positionV relativeFrom="margin">
              <wp:posOffset>7159011</wp:posOffset>
            </wp:positionV>
            <wp:extent cx="2839720" cy="1999615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F1483" w14:textId="77777777" w:rsidR="00912682" w:rsidRDefault="00912682" w:rsidP="00217EE5">
      <w:pPr>
        <w:rPr>
          <w:b/>
          <w:bCs/>
        </w:rPr>
      </w:pPr>
    </w:p>
    <w:p w14:paraId="4D5F1484" w14:textId="77777777" w:rsidR="00217EE5" w:rsidRPr="00530B2C" w:rsidRDefault="00217EE5" w:rsidP="00530B2C">
      <w:r w:rsidRPr="006711FE">
        <w:rPr>
          <w:b/>
          <w:bCs/>
        </w:rPr>
        <w:t xml:space="preserve">Abbildung </w:t>
      </w:r>
      <w:r>
        <w:rPr>
          <w:b/>
          <w:bCs/>
        </w:rPr>
        <w:t>3</w:t>
      </w:r>
      <w:r w:rsidRPr="006711FE">
        <w:rPr>
          <w:b/>
          <w:bCs/>
        </w:rPr>
        <w:t xml:space="preserve">: </w:t>
      </w:r>
      <w:r>
        <w:rPr>
          <w:b/>
          <w:bCs/>
        </w:rPr>
        <w:t>Aktiv</w:t>
      </w:r>
      <w:r w:rsidRPr="006711FE">
        <w:rPr>
          <w:b/>
          <w:bCs/>
        </w:rPr>
        <w:t xml:space="preserve"> vs. P</w:t>
      </w:r>
      <w:r>
        <w:rPr>
          <w:b/>
          <w:bCs/>
        </w:rPr>
        <w:t>assiv</w:t>
      </w:r>
      <w:r>
        <w:t xml:space="preserve">. Dargestellt ist die durchschnittliche Total Time (in Millisekunden pro Zeichen) für die kritische Region in den beiden Bedingungen (Aktiv = „beschimpfte der Kellner einen Gast“ vs. Passiv = „wurde ein Gast von dem Kellner beschimpft“). Abkürzungen: AK = Aktiv, PA = Passiv, C = chinesische </w:t>
      </w:r>
      <w:proofErr w:type="spellStart"/>
      <w:r>
        <w:t>Muttersprachler:innen</w:t>
      </w:r>
      <w:proofErr w:type="spellEnd"/>
      <w:r>
        <w:t xml:space="preserve">, D = deutsche </w:t>
      </w:r>
      <w:proofErr w:type="spellStart"/>
      <w:r>
        <w:t>Muttersprachler:innen</w:t>
      </w:r>
      <w:proofErr w:type="spellEnd"/>
      <w:r>
        <w:t>.</w:t>
      </w:r>
    </w:p>
    <w:sectPr w:rsidR="00217EE5" w:rsidRPr="00530B2C" w:rsidSect="00530B2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93A"/>
    <w:multiLevelType w:val="hybridMultilevel"/>
    <w:tmpl w:val="1DCEB2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95D2F"/>
    <w:multiLevelType w:val="hybridMultilevel"/>
    <w:tmpl w:val="5672DA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42149">
    <w:abstractNumId w:val="0"/>
  </w:num>
  <w:num w:numId="2" w16cid:durableId="74280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2C"/>
    <w:rsid w:val="00044A07"/>
    <w:rsid w:val="000D4C36"/>
    <w:rsid w:val="00164334"/>
    <w:rsid w:val="00196297"/>
    <w:rsid w:val="00217EE5"/>
    <w:rsid w:val="00224226"/>
    <w:rsid w:val="00282E61"/>
    <w:rsid w:val="00530B2C"/>
    <w:rsid w:val="005E20A6"/>
    <w:rsid w:val="006654D8"/>
    <w:rsid w:val="006711FE"/>
    <w:rsid w:val="00814915"/>
    <w:rsid w:val="00910C2F"/>
    <w:rsid w:val="00912682"/>
    <w:rsid w:val="00A14176"/>
    <w:rsid w:val="00A619D4"/>
    <w:rsid w:val="00AB111E"/>
    <w:rsid w:val="00B7420B"/>
    <w:rsid w:val="00B81DC8"/>
    <w:rsid w:val="00C76059"/>
    <w:rsid w:val="00CE6FE1"/>
    <w:rsid w:val="00D72A20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144A"/>
  <w15:docId w15:val="{7EE74D4C-195E-49EF-A2BE-0538194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B2C"/>
    <w:pPr>
      <w:jc w:val="both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A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B111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111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111E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CE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 Fiona</dc:creator>
  <cp:keywords/>
  <dc:description/>
  <cp:lastModifiedBy>Doreen Schneider</cp:lastModifiedBy>
  <cp:revision>9</cp:revision>
  <dcterms:created xsi:type="dcterms:W3CDTF">2021-09-24T07:38:00Z</dcterms:created>
  <dcterms:modified xsi:type="dcterms:W3CDTF">2022-09-21T12:15:00Z</dcterms:modified>
</cp:coreProperties>
</file>