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E9" w:rsidRDefault="00141076" w:rsidP="00036FE9">
      <w:pPr>
        <w:pStyle w:val="CitaviLiteraturverzeichnis"/>
        <w:ind w:left="426" w:hanging="425"/>
        <w:jc w:val="center"/>
        <w:rPr>
          <w:rFonts w:ascii="Atkinson Hyperlegible" w:hAnsi="Atkinson Hyperlegible"/>
          <w:b/>
          <w:sz w:val="28"/>
          <w:szCs w:val="28"/>
        </w:rPr>
      </w:pPr>
      <w:r w:rsidRPr="00036FE9">
        <w:rPr>
          <w:rFonts w:ascii="Atkinson Hyperlegible" w:hAnsi="Atkinson Hyperlegible"/>
          <w:b/>
          <w:sz w:val="28"/>
          <w:szCs w:val="28"/>
        </w:rPr>
        <w:t xml:space="preserve">Literaturverzeichnis für das Paket 1 </w:t>
      </w:r>
      <w:r w:rsidR="0031674D">
        <w:rPr>
          <w:rFonts w:ascii="Atkinson Hyperlegible" w:hAnsi="Atkinson Hyperlegible"/>
          <w:b/>
          <w:sz w:val="28"/>
          <w:szCs w:val="28"/>
        </w:rPr>
        <w:t>„Guter Unterricht“</w:t>
      </w:r>
    </w:p>
    <w:p w:rsidR="00EC03A8" w:rsidRDefault="00EC03A8" w:rsidP="00036FE9">
      <w:pPr>
        <w:pStyle w:val="CitaviLiteraturverzeichnis"/>
        <w:ind w:left="426" w:hanging="425"/>
        <w:jc w:val="center"/>
        <w:rPr>
          <w:rFonts w:ascii="Atkinson Hyperlegible" w:hAnsi="Atkinson Hyperlegible"/>
          <w:b/>
          <w:sz w:val="28"/>
          <w:szCs w:val="28"/>
        </w:rPr>
      </w:pPr>
      <w:r>
        <w:rPr>
          <w:rFonts w:ascii="Atkinson Hyperlegible" w:hAnsi="Atkinson Hyperlegible"/>
          <w:b/>
          <w:sz w:val="28"/>
          <w:szCs w:val="28"/>
        </w:rPr>
        <w:t>Wissenstext „Wirksamer inklusiver Unterricht“</w:t>
      </w:r>
    </w:p>
    <w:p w:rsidR="00B91380" w:rsidRPr="00036FE9" w:rsidRDefault="00B91380" w:rsidP="00036FE9">
      <w:pPr>
        <w:pStyle w:val="CitaviLiteraturverzeichnis"/>
        <w:ind w:left="426" w:hanging="425"/>
        <w:jc w:val="center"/>
        <w:rPr>
          <w:rFonts w:ascii="Atkinson Hyperlegible" w:hAnsi="Atkinson Hyperlegible"/>
          <w:b/>
          <w:sz w:val="28"/>
          <w:szCs w:val="28"/>
        </w:rPr>
      </w:pPr>
    </w:p>
    <w:p w:rsidR="00036FE9" w:rsidRDefault="00036FE9" w:rsidP="00036FE9">
      <w:pPr>
        <w:pStyle w:val="CitaviLiteraturverzeichn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6521" w:firstLine="0"/>
        <w:jc w:val="both"/>
        <w:rPr>
          <w:rFonts w:ascii="Atkinson Hyperlegible" w:hAnsi="Atkinson Hyperlegible"/>
          <w:b/>
          <w:sz w:val="20"/>
          <w:szCs w:val="20"/>
        </w:rPr>
      </w:pPr>
      <w:r w:rsidRPr="00036FE9">
        <w:rPr>
          <w:rFonts w:ascii="Atkinson Hyperlegible" w:hAnsi="Atkinson Hyperlegible"/>
          <w:b/>
          <w:sz w:val="20"/>
          <w:szCs w:val="20"/>
        </w:rPr>
        <w:t xml:space="preserve">Legende: </w:t>
      </w:r>
    </w:p>
    <w:p w:rsidR="00036FE9" w:rsidRPr="00036FE9" w:rsidRDefault="00036FE9" w:rsidP="00036FE9">
      <w:pPr>
        <w:pStyle w:val="CitaviLiteraturverzeichn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6521" w:firstLine="0"/>
        <w:jc w:val="both"/>
        <w:rPr>
          <w:rFonts w:ascii="Atkinson Hyperlegible" w:hAnsi="Atkinson Hyperlegible"/>
          <w:i/>
          <w:sz w:val="20"/>
          <w:szCs w:val="20"/>
        </w:rPr>
      </w:pPr>
      <w:r w:rsidRPr="00036FE9">
        <w:rPr>
          <w:rFonts w:ascii="Atkinson Hyperlegible" w:hAnsi="Atkinson Hyperlegible"/>
          <w:i/>
          <w:sz w:val="20"/>
          <w:szCs w:val="20"/>
        </w:rPr>
        <w:t>gekennzeichnete Literatur wurde ebenfalls für … verwendet:</w:t>
      </w:r>
    </w:p>
    <w:p w:rsidR="00036FE9" w:rsidRPr="00036FE9" w:rsidRDefault="00036FE9" w:rsidP="00036FE9">
      <w:pPr>
        <w:pStyle w:val="CitaviLiteraturverzeichn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6521" w:firstLine="0"/>
        <w:jc w:val="both"/>
        <w:rPr>
          <w:rFonts w:ascii="Atkinson Hyperlegible" w:hAnsi="Atkinson Hyperlegible"/>
          <w:sz w:val="20"/>
          <w:szCs w:val="20"/>
        </w:rPr>
      </w:pPr>
      <w:r w:rsidRPr="00036FE9">
        <w:rPr>
          <w:rFonts w:ascii="Atkinson Hyperlegible" w:hAnsi="Atkinson Hyperlegible"/>
          <w:b/>
          <w:sz w:val="20"/>
          <w:szCs w:val="20"/>
        </w:rPr>
        <w:t xml:space="preserve">• </w:t>
      </w:r>
      <w:r>
        <w:rPr>
          <w:rFonts w:ascii="Atkinson Hyperlegible" w:hAnsi="Atkinson Hyperlegible"/>
          <w:b/>
          <w:sz w:val="20"/>
          <w:szCs w:val="20"/>
        </w:rPr>
        <w:tab/>
      </w:r>
      <w:r w:rsidRPr="00036FE9">
        <w:rPr>
          <w:rFonts w:ascii="Atkinson Hyperlegible" w:hAnsi="Atkinson Hyperlegible"/>
          <w:sz w:val="20"/>
          <w:szCs w:val="20"/>
        </w:rPr>
        <w:t>Referatsvideo</w:t>
      </w:r>
    </w:p>
    <w:p w:rsidR="00036FE9" w:rsidRPr="00036FE9" w:rsidRDefault="00036FE9" w:rsidP="00036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6521"/>
        <w:rPr>
          <w:rFonts w:ascii="Atkinson Hyperlegible" w:hAnsi="Atkinson Hyperlegible"/>
          <w:sz w:val="20"/>
          <w:szCs w:val="20"/>
        </w:rPr>
      </w:pPr>
      <w:bookmarkStart w:id="0" w:name="_Hlk93998821"/>
      <w:r w:rsidRPr="00036FE9">
        <w:rPr>
          <w:rFonts w:ascii="Atkinson Hyperlegible" w:hAnsi="Atkinson Hyperlegible"/>
          <w:sz w:val="20"/>
          <w:szCs w:val="20"/>
        </w:rPr>
        <w:sym w:font="Wingdings" w:char="F073"/>
      </w:r>
      <w:bookmarkEnd w:id="0"/>
      <w:r w:rsidRPr="00036FE9">
        <w:rPr>
          <w:rFonts w:ascii="Atkinson Hyperlegible" w:hAnsi="Atkinson Hyperlegible"/>
          <w:sz w:val="20"/>
          <w:szCs w:val="20"/>
        </w:rPr>
        <w:t xml:space="preserve"> </w:t>
      </w:r>
      <w:r>
        <w:rPr>
          <w:rFonts w:ascii="Atkinson Hyperlegible" w:hAnsi="Atkinson Hyperlegible"/>
          <w:sz w:val="20"/>
          <w:szCs w:val="20"/>
        </w:rPr>
        <w:tab/>
      </w:r>
      <w:r w:rsidRPr="00036FE9">
        <w:rPr>
          <w:rFonts w:ascii="Atkinson Hyperlegible" w:hAnsi="Atkinson Hyperlegible"/>
          <w:sz w:val="20"/>
          <w:szCs w:val="20"/>
        </w:rPr>
        <w:t>Eisberg-Video</w:t>
      </w:r>
    </w:p>
    <w:p w:rsidR="00036FE9" w:rsidRPr="00036FE9" w:rsidRDefault="00036FE9" w:rsidP="00036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6521"/>
        <w:rPr>
          <w:rFonts w:ascii="Atkinson Hyperlegible" w:hAnsi="Atkinson Hyperlegible"/>
          <w:sz w:val="20"/>
          <w:szCs w:val="20"/>
        </w:rPr>
      </w:pPr>
      <w:bookmarkStart w:id="1" w:name="_Hlk93999000"/>
      <w:r w:rsidRPr="00036FE9">
        <w:rPr>
          <w:rFonts w:ascii="Atkinson Hyperlegible" w:hAnsi="Atkinson Hyperlegible"/>
          <w:sz w:val="20"/>
          <w:szCs w:val="20"/>
        </w:rPr>
        <w:sym w:font="Wingdings" w:char="F0AA"/>
      </w:r>
      <w:bookmarkEnd w:id="1"/>
      <w:r w:rsidRPr="00036FE9">
        <w:rPr>
          <w:rFonts w:ascii="Atkinson Hyperlegible" w:hAnsi="Atkinson Hyperlegible"/>
          <w:sz w:val="20"/>
          <w:szCs w:val="20"/>
        </w:rPr>
        <w:t xml:space="preserve"> </w:t>
      </w:r>
      <w:r>
        <w:rPr>
          <w:rFonts w:ascii="Atkinson Hyperlegible" w:hAnsi="Atkinson Hyperlegible"/>
          <w:sz w:val="20"/>
          <w:szCs w:val="20"/>
        </w:rPr>
        <w:tab/>
      </w:r>
      <w:proofErr w:type="spellStart"/>
      <w:r w:rsidRPr="00036FE9">
        <w:rPr>
          <w:rFonts w:ascii="Atkinson Hyperlegible" w:hAnsi="Atkinson Hyperlegible"/>
          <w:sz w:val="20"/>
          <w:szCs w:val="20"/>
        </w:rPr>
        <w:t>C</w:t>
      </w:r>
      <w:r>
        <w:rPr>
          <w:rFonts w:ascii="Atkinson Hyperlegible" w:hAnsi="Atkinson Hyperlegible"/>
          <w:sz w:val="20"/>
          <w:szCs w:val="20"/>
        </w:rPr>
        <w:t>lassroom</w:t>
      </w:r>
      <w:proofErr w:type="spellEnd"/>
      <w:r>
        <w:rPr>
          <w:rFonts w:ascii="Atkinson Hyperlegible" w:hAnsi="Atkinson Hyperlegible"/>
          <w:sz w:val="20"/>
          <w:szCs w:val="20"/>
        </w:rPr>
        <w:t xml:space="preserve"> </w:t>
      </w:r>
      <w:r w:rsidRPr="00036FE9">
        <w:rPr>
          <w:rFonts w:ascii="Atkinson Hyperlegible" w:hAnsi="Atkinson Hyperlegible"/>
          <w:sz w:val="20"/>
          <w:szCs w:val="20"/>
        </w:rPr>
        <w:t>M</w:t>
      </w:r>
      <w:r>
        <w:rPr>
          <w:rFonts w:ascii="Atkinson Hyperlegible" w:hAnsi="Atkinson Hyperlegible"/>
          <w:sz w:val="20"/>
          <w:szCs w:val="20"/>
        </w:rPr>
        <w:t>anagement-</w:t>
      </w:r>
      <w:r w:rsidRPr="00036FE9">
        <w:rPr>
          <w:rFonts w:ascii="Atkinson Hyperlegible" w:hAnsi="Atkinson Hyperlegible"/>
          <w:sz w:val="20"/>
          <w:szCs w:val="20"/>
        </w:rPr>
        <w:t>Videos</w:t>
      </w:r>
    </w:p>
    <w:p w:rsidR="00141076" w:rsidRPr="00036FE9" w:rsidRDefault="00141076" w:rsidP="00036FE9">
      <w:pPr>
        <w:pStyle w:val="CitaviLiteraturverzeichnis"/>
        <w:ind w:left="0" w:firstLine="0"/>
        <w:rPr>
          <w:rFonts w:ascii="Atkinson Hyperlegible" w:hAnsi="Atkinson Hyperlegible"/>
          <w:b/>
          <w:sz w:val="24"/>
          <w:szCs w:val="24"/>
        </w:rPr>
      </w:pPr>
    </w:p>
    <w:p w:rsidR="00141076" w:rsidRPr="00036FE9" w:rsidRDefault="00141076" w:rsidP="00B125C5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t>Bielefeldt, H. (2010). Menschenrecht auf inklusive Bildung. Der Anspruch der UN-Behindertenrechtskonvention (79), 66–69.</w:t>
      </w:r>
    </w:p>
    <w:p w:rsidR="00141076" w:rsidRPr="00036FE9" w:rsidRDefault="00462A96" w:rsidP="00B125C5">
      <w:pPr>
        <w:pStyle w:val="CitaviLiteraturverzeichnis"/>
        <w:ind w:left="993" w:hanging="993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AA"/>
      </w:r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 </w:t>
      </w:r>
      <w:r w:rsidR="00B125C5">
        <w:rPr>
          <w:rFonts w:ascii="Atkinson Hyperlegible" w:hAnsi="Atkinson Hyperlegible"/>
          <w:sz w:val="24"/>
          <w:szCs w:val="24"/>
          <w:lang w:val="en-US"/>
        </w:rPr>
        <w:t xml:space="preserve">    </w:t>
      </w:r>
      <w:r w:rsidR="00141076" w:rsidRPr="00036FE9">
        <w:rPr>
          <w:rFonts w:ascii="Atkinson Hyperlegible" w:hAnsi="Atkinson Hyperlegible"/>
          <w:sz w:val="24"/>
          <w:szCs w:val="24"/>
          <w:lang w:val="en-US"/>
        </w:rPr>
        <w:t xml:space="preserve">Brophy, J. &amp; </w:t>
      </w:r>
      <w:proofErr w:type="spellStart"/>
      <w:r w:rsidR="00141076" w:rsidRPr="00036FE9">
        <w:rPr>
          <w:rFonts w:ascii="Atkinson Hyperlegible" w:hAnsi="Atkinson Hyperlegible"/>
          <w:sz w:val="24"/>
          <w:szCs w:val="24"/>
          <w:lang w:val="en-US"/>
        </w:rPr>
        <w:t>Evertson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  <w:lang w:val="en-US"/>
        </w:rPr>
        <w:t xml:space="preserve">, C. (1976).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>Learning from teaching: A developmental perspective</w:t>
      </w:r>
      <w:r w:rsidR="00141076" w:rsidRPr="00036FE9">
        <w:rPr>
          <w:rFonts w:ascii="Atkinson Hyperlegible" w:hAnsi="Atkinson Hyperlegible"/>
          <w:sz w:val="24"/>
          <w:szCs w:val="24"/>
          <w:lang w:val="en-US"/>
        </w:rPr>
        <w:t xml:space="preserve">. 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Allyn and Bacon. </w:t>
      </w:r>
    </w:p>
    <w:p w:rsidR="00141076" w:rsidRPr="00036FE9" w:rsidRDefault="00141076" w:rsidP="00B125C5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t xml:space="preserve">Deutsche UNESCO-Kommission. (2009).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>Inklusion: Leitlinien für die Bildungspolitik.</w:t>
      </w:r>
      <w:r w:rsidRPr="00036FE9">
        <w:rPr>
          <w:rFonts w:ascii="Atkinson Hyperlegible" w:hAnsi="Atkinson Hyperlegible"/>
          <w:sz w:val="24"/>
          <w:szCs w:val="24"/>
        </w:rPr>
        <w:t xml:space="preserve"> https://www.unesco.de/sites/default/files/2018-05/2014_Leitlinien_inklusive_Bildung.pdf</w:t>
      </w:r>
    </w:p>
    <w:p w:rsidR="00141076" w:rsidRDefault="00462A96" w:rsidP="00B125C5">
      <w:pPr>
        <w:pStyle w:val="CitaviLiteraturverzeichnis"/>
        <w:ind w:left="993" w:hanging="992"/>
        <w:rPr>
          <w:rFonts w:ascii="Atkinson Hyperlegible" w:hAnsi="Atkinson Hyperlegible"/>
          <w:sz w:val="24"/>
          <w:szCs w:val="24"/>
        </w:rPr>
      </w:pPr>
      <w:bookmarkStart w:id="2" w:name="_Hlk94254388"/>
      <w:r w:rsidRPr="00036FE9">
        <w:rPr>
          <w:rFonts w:ascii="Atkinson Hyperlegible" w:hAnsi="Atkinson Hyperlegible"/>
          <w:sz w:val="24"/>
          <w:szCs w:val="24"/>
        </w:rPr>
        <w:sym w:font="Wingdings" w:char="F0AA"/>
      </w:r>
      <w:bookmarkEnd w:id="2"/>
      <w:r w:rsidRPr="00036FE9">
        <w:rPr>
          <w:rFonts w:ascii="Atkinson Hyperlegible" w:hAnsi="Atkinson Hyperlegible"/>
          <w:sz w:val="24"/>
          <w:szCs w:val="24"/>
        </w:rPr>
        <w:t xml:space="preserve"> </w:t>
      </w:r>
      <w:r w:rsidR="00B125C5">
        <w:rPr>
          <w:rFonts w:ascii="Atkinson Hyperlegible" w:hAnsi="Atkinson Hyperlegible"/>
          <w:sz w:val="24"/>
          <w:szCs w:val="24"/>
        </w:rPr>
        <w:t xml:space="preserve">    </w:t>
      </w:r>
      <w:r w:rsidR="00141076" w:rsidRPr="00036FE9">
        <w:rPr>
          <w:rFonts w:ascii="Atkinson Hyperlegible" w:hAnsi="Atkinson Hyperlegible"/>
          <w:sz w:val="24"/>
          <w:szCs w:val="24"/>
        </w:rPr>
        <w:t>Eichhorn, C., Vierbuchen, M.</w:t>
      </w:r>
      <w:r w:rsidR="00141076" w:rsidRPr="00036FE9">
        <w:rPr>
          <w:rFonts w:ascii="Atkinson Hyperlegible" w:hAnsi="Atkinson Hyperlegible"/>
          <w:sz w:val="24"/>
          <w:szCs w:val="24"/>
        </w:rPr>
        <w:noBreakHyphen/>
        <w:t xml:space="preserve">C. &amp; Hillenbrand, C [C.] (2016). </w:t>
      </w:r>
      <w:proofErr w:type="spellStart"/>
      <w:r w:rsidR="00141076" w:rsidRPr="00036FE9">
        <w:rPr>
          <w:rFonts w:ascii="Atkinson Hyperlegible" w:hAnsi="Atkinson Hyperlegible"/>
          <w:sz w:val="24"/>
          <w:szCs w:val="24"/>
        </w:rPr>
        <w:t>Classroom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</w:rPr>
        <w:t xml:space="preserve">-Management - damit es im Unterricht rund läuft.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</w:rPr>
        <w:t xml:space="preserve">Erziehung und Unterricht </w:t>
      </w:r>
      <w:r w:rsidR="00141076" w:rsidRPr="00036FE9">
        <w:rPr>
          <w:rFonts w:ascii="Atkinson Hyperlegible" w:hAnsi="Atkinson Hyperlegible"/>
          <w:sz w:val="24"/>
          <w:szCs w:val="24"/>
        </w:rPr>
        <w:t>(5), 351–361.</w:t>
      </w:r>
    </w:p>
    <w:p w:rsidR="00B125C5" w:rsidRPr="00EC03A8" w:rsidRDefault="00B125C5" w:rsidP="00B125C5">
      <w:pPr>
        <w:pStyle w:val="CitaviLiteraturverzeichnis"/>
        <w:ind w:left="993" w:hanging="993"/>
        <w:rPr>
          <w:rFonts w:ascii="Atkinson Hyperlegible" w:hAnsi="Atkinson Hyperlegible"/>
          <w:sz w:val="24"/>
          <w:szCs w:val="24"/>
          <w:lang w:val="en-US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AA"/>
      </w:r>
      <w:r>
        <w:rPr>
          <w:rFonts w:ascii="Atkinson Hyperlegible" w:hAnsi="Atkinson Hyperlegible"/>
          <w:sz w:val="24"/>
          <w:szCs w:val="24"/>
        </w:rPr>
        <w:t xml:space="preserve">     </w:t>
      </w:r>
      <w:r w:rsidRPr="00B125C5">
        <w:rPr>
          <w:rFonts w:ascii="Atkinson Hyperlegible" w:hAnsi="Atkinson Hyperlegible"/>
          <w:sz w:val="24"/>
          <w:szCs w:val="24"/>
        </w:rPr>
        <w:t xml:space="preserve">Einsiedler, W. (1997). Unterrichtsqualität und Leistungsentwicklung: Literaturüberblick. In W. Weinert &amp; A. Helmke (Hrsg.), Entwicklung im Grundschulalter (S. 225–251). </w:t>
      </w:r>
      <w:r w:rsidRPr="00EC03A8">
        <w:rPr>
          <w:rFonts w:ascii="Atkinson Hyperlegible" w:hAnsi="Atkinson Hyperlegible"/>
          <w:sz w:val="24"/>
          <w:szCs w:val="24"/>
          <w:lang w:val="en-US"/>
        </w:rPr>
        <w:t>PVU.</w:t>
      </w:r>
    </w:p>
    <w:p w:rsidR="00B125C5" w:rsidRPr="00EC03A8" w:rsidRDefault="00B125C5" w:rsidP="00B125C5">
      <w:pPr>
        <w:pStyle w:val="CitaviLiteraturverzeichnis"/>
        <w:ind w:left="993" w:hanging="992"/>
        <w:rPr>
          <w:rFonts w:ascii="Atkinson Hyperlegible" w:hAnsi="Atkinson Hyperlegible"/>
          <w:sz w:val="24"/>
          <w:szCs w:val="24"/>
          <w:lang w:val="en-US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AA"/>
      </w:r>
      <w:r w:rsidRPr="00EC03A8">
        <w:rPr>
          <w:rFonts w:ascii="Atkinson Hyperlegible" w:hAnsi="Atkinson Hyperlegible"/>
          <w:sz w:val="24"/>
          <w:szCs w:val="24"/>
          <w:lang w:val="en-US"/>
        </w:rPr>
        <w:t xml:space="preserve">     Emmer, E. &amp; </w:t>
      </w:r>
      <w:proofErr w:type="spellStart"/>
      <w:r w:rsidRPr="00EC03A8">
        <w:rPr>
          <w:rFonts w:ascii="Atkinson Hyperlegible" w:hAnsi="Atkinson Hyperlegible"/>
          <w:sz w:val="24"/>
          <w:szCs w:val="24"/>
          <w:lang w:val="en-US"/>
        </w:rPr>
        <w:t>Stough</w:t>
      </w:r>
      <w:proofErr w:type="spellEnd"/>
      <w:r w:rsidRPr="00EC03A8">
        <w:rPr>
          <w:rFonts w:ascii="Atkinson Hyperlegible" w:hAnsi="Atkinson Hyperlegible"/>
          <w:sz w:val="24"/>
          <w:szCs w:val="24"/>
          <w:lang w:val="en-US"/>
        </w:rPr>
        <w:t>, L. (2001). Classroom Management: A Critical Part of Educational Psychology, With Implications for Teacher Education. Educational Psychologist (36), 103–112.</w:t>
      </w:r>
    </w:p>
    <w:p w:rsidR="00141076" w:rsidRPr="00036FE9" w:rsidRDefault="00462A96" w:rsidP="00B125C5">
      <w:pPr>
        <w:pStyle w:val="CitaviLiteraturverzeichnis"/>
        <w:ind w:left="993" w:hanging="993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AA"/>
      </w:r>
      <w:r w:rsidR="00B125C5" w:rsidRPr="00EC03A8">
        <w:rPr>
          <w:rFonts w:ascii="Atkinson Hyperlegible" w:hAnsi="Atkinson Hyperlegible"/>
          <w:sz w:val="24"/>
          <w:szCs w:val="24"/>
          <w:lang w:val="en-US"/>
        </w:rPr>
        <w:t xml:space="preserve">     </w:t>
      </w:r>
      <w:proofErr w:type="spellStart"/>
      <w:r w:rsidR="00141076" w:rsidRPr="00EC03A8">
        <w:rPr>
          <w:rFonts w:ascii="Atkinson Hyperlegible" w:hAnsi="Atkinson Hyperlegible"/>
          <w:sz w:val="24"/>
          <w:szCs w:val="24"/>
          <w:lang w:val="en-US"/>
        </w:rPr>
        <w:t>Evertson</w:t>
      </w:r>
      <w:proofErr w:type="spellEnd"/>
      <w:r w:rsidR="00141076" w:rsidRPr="00EC03A8">
        <w:rPr>
          <w:rFonts w:ascii="Atkinson Hyperlegible" w:hAnsi="Atkinson Hyperlegible"/>
          <w:sz w:val="24"/>
          <w:szCs w:val="24"/>
          <w:lang w:val="en-US"/>
        </w:rPr>
        <w:t xml:space="preserve">, C. M. &amp; Emmer, E. T. (2009). </w:t>
      </w:r>
      <w:r w:rsidR="00141076" w:rsidRPr="00EC03A8">
        <w:rPr>
          <w:rFonts w:ascii="Atkinson Hyperlegible" w:hAnsi="Atkinson Hyperlegible"/>
          <w:i/>
          <w:iCs/>
          <w:sz w:val="24"/>
          <w:szCs w:val="24"/>
          <w:lang w:val="en-US"/>
        </w:rPr>
        <w:t>Classroom management for elementary teachers</w:t>
      </w:r>
      <w:r w:rsidR="00141076" w:rsidRPr="00EC03A8">
        <w:rPr>
          <w:rFonts w:ascii="Atkinson Hyperlegible" w:hAnsi="Atkinson Hyperlegible"/>
          <w:sz w:val="24"/>
          <w:szCs w:val="24"/>
          <w:lang w:val="en-US"/>
        </w:rPr>
        <w:t xml:space="preserve">. 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Pearson Education. </w:t>
      </w:r>
    </w:p>
    <w:p w:rsidR="00141076" w:rsidRPr="00036FE9" w:rsidRDefault="00462A96" w:rsidP="00B125C5">
      <w:pPr>
        <w:pStyle w:val="CitaviLiteraturverzeichnis"/>
        <w:ind w:left="993" w:hanging="993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AA"/>
      </w:r>
      <w:r w:rsidRPr="00036FE9">
        <w:rPr>
          <w:rFonts w:ascii="Atkinson Hyperlegible" w:hAnsi="Atkinson Hyperlegible"/>
          <w:sz w:val="24"/>
          <w:szCs w:val="24"/>
        </w:rPr>
        <w:t xml:space="preserve"> </w:t>
      </w:r>
      <w:r w:rsidR="00B125C5">
        <w:rPr>
          <w:rFonts w:ascii="Atkinson Hyperlegible" w:hAnsi="Atkinson Hyperlegible"/>
          <w:sz w:val="24"/>
          <w:szCs w:val="24"/>
        </w:rPr>
        <w:t xml:space="preserve">    </w:t>
      </w:r>
      <w:proofErr w:type="spellStart"/>
      <w:r w:rsidR="00141076" w:rsidRPr="00036FE9">
        <w:rPr>
          <w:rFonts w:ascii="Atkinson Hyperlegible" w:hAnsi="Atkinson Hyperlegible"/>
          <w:sz w:val="24"/>
          <w:szCs w:val="24"/>
        </w:rPr>
        <w:t>Hartke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</w:rPr>
        <w:t xml:space="preserve">, B., Koch, K. &amp; Diehl, K. (Hrsg.). (2010).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</w:rPr>
        <w:t>Förderung in der schulischen Eingangsstufe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. Kohlhammer. </w:t>
      </w:r>
    </w:p>
    <w:p w:rsidR="00141076" w:rsidRPr="00036FE9" w:rsidRDefault="00462A96" w:rsidP="00036FE9">
      <w:pPr>
        <w:pStyle w:val="CitaviLiteraturverzeichnis"/>
        <w:ind w:left="426" w:hanging="425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AA"/>
      </w:r>
      <w:r w:rsidR="00B125C5">
        <w:rPr>
          <w:rFonts w:ascii="Atkinson Hyperlegible" w:hAnsi="Atkinson Hyperlegible"/>
          <w:sz w:val="24"/>
          <w:szCs w:val="24"/>
        </w:rPr>
        <w:t xml:space="preserve">    </w:t>
      </w:r>
      <w:r w:rsidRPr="00036FE9">
        <w:rPr>
          <w:rFonts w:ascii="Atkinson Hyperlegible" w:hAnsi="Atkinson Hyperlegible"/>
          <w:sz w:val="24"/>
          <w:szCs w:val="24"/>
        </w:rPr>
        <w:t xml:space="preserve"> 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Hattie, J. (2013).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</w:rPr>
        <w:t>Lernen sichtbar machen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. Schneider. </w:t>
      </w:r>
    </w:p>
    <w:p w:rsidR="00141076" w:rsidRPr="00036FE9" w:rsidRDefault="00141076" w:rsidP="00B125C5">
      <w:pPr>
        <w:pStyle w:val="CitaviLiteraturverzeichnis"/>
        <w:ind w:left="993" w:hanging="425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t xml:space="preserve">Hattie, J., </w:t>
      </w:r>
      <w:proofErr w:type="spellStart"/>
      <w:r w:rsidRPr="00036FE9">
        <w:rPr>
          <w:rFonts w:ascii="Atkinson Hyperlegible" w:hAnsi="Atkinson Hyperlegible"/>
          <w:sz w:val="24"/>
          <w:szCs w:val="24"/>
        </w:rPr>
        <w:t>Beywl</w:t>
      </w:r>
      <w:proofErr w:type="spellEnd"/>
      <w:r w:rsidRPr="00036FE9">
        <w:rPr>
          <w:rFonts w:ascii="Atkinson Hyperlegible" w:hAnsi="Atkinson Hyperlegible"/>
          <w:sz w:val="24"/>
          <w:szCs w:val="24"/>
        </w:rPr>
        <w:t xml:space="preserve">, W. &amp; </w:t>
      </w:r>
      <w:proofErr w:type="spellStart"/>
      <w:r w:rsidRPr="00036FE9">
        <w:rPr>
          <w:rFonts w:ascii="Atkinson Hyperlegible" w:hAnsi="Atkinson Hyperlegible"/>
          <w:sz w:val="24"/>
          <w:szCs w:val="24"/>
        </w:rPr>
        <w:t>Zierer</w:t>
      </w:r>
      <w:proofErr w:type="spellEnd"/>
      <w:r w:rsidRPr="00036FE9">
        <w:rPr>
          <w:rFonts w:ascii="Atkinson Hyperlegible" w:hAnsi="Atkinson Hyperlegible"/>
          <w:sz w:val="24"/>
          <w:szCs w:val="24"/>
        </w:rPr>
        <w:t xml:space="preserve">, K. (Hrsg.). (2015).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>Lernen sichtbar machen.</w:t>
      </w:r>
      <w:r w:rsidRPr="00036FE9">
        <w:rPr>
          <w:rFonts w:ascii="Atkinson Hyperlegible" w:hAnsi="Atkinson Hyperlegible"/>
          <w:sz w:val="24"/>
          <w:szCs w:val="24"/>
        </w:rPr>
        <w:t xml:space="preserve"> (3. Aufl.). Schneider Hohengehren. </w:t>
      </w:r>
    </w:p>
    <w:p w:rsidR="00141076" w:rsidRPr="00036FE9" w:rsidRDefault="004B1FF9" w:rsidP="00B125C5">
      <w:pPr>
        <w:pStyle w:val="CitaviLiteraturverzeichnis"/>
        <w:ind w:left="993" w:hanging="993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b/>
          <w:sz w:val="24"/>
          <w:szCs w:val="24"/>
          <w:lang w:val="en-US"/>
        </w:rPr>
        <w:t>•</w:t>
      </w:r>
      <w:r w:rsidR="00462A96" w:rsidRPr="00036FE9">
        <w:rPr>
          <w:rFonts w:ascii="Atkinson Hyperlegible" w:hAnsi="Atkinson Hyperlegible"/>
          <w:b/>
          <w:sz w:val="24"/>
          <w:szCs w:val="24"/>
          <w:lang w:val="en-US"/>
        </w:rPr>
        <w:t xml:space="preserve"> </w:t>
      </w:r>
      <w:r w:rsidR="00462A96" w:rsidRPr="00036FE9">
        <w:rPr>
          <w:rFonts w:ascii="Atkinson Hyperlegible" w:hAnsi="Atkinson Hyperlegible"/>
          <w:sz w:val="24"/>
          <w:szCs w:val="24"/>
        </w:rPr>
        <w:sym w:font="Wingdings" w:char="F073"/>
      </w:r>
      <w:r w:rsidR="00462A96" w:rsidRPr="00036FE9">
        <w:rPr>
          <w:rFonts w:ascii="Atkinson Hyperlegible" w:hAnsi="Atkinson Hyperlegible"/>
          <w:sz w:val="24"/>
          <w:szCs w:val="24"/>
        </w:rPr>
        <w:sym w:font="Wingdings" w:char="F0AA"/>
      </w:r>
      <w:r w:rsidRPr="00036FE9">
        <w:rPr>
          <w:rFonts w:ascii="Atkinson Hyperlegible" w:hAnsi="Atkinson Hyperlegible"/>
          <w:b/>
          <w:sz w:val="24"/>
          <w:szCs w:val="24"/>
          <w:lang w:val="en-US"/>
        </w:rPr>
        <w:t xml:space="preserve"> </w:t>
      </w:r>
      <w:r w:rsidR="00141076" w:rsidRPr="00036FE9">
        <w:rPr>
          <w:rFonts w:ascii="Atkinson Hyperlegible" w:hAnsi="Atkinson Hyperlegible"/>
          <w:sz w:val="24"/>
          <w:szCs w:val="24"/>
          <w:lang w:val="en-US"/>
        </w:rPr>
        <w:t xml:space="preserve">Hattie, J. (2009).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>Visible Learning. A synthesis of over 800 meta-analyses relating to achievement</w:t>
      </w:r>
      <w:r w:rsidR="00141076" w:rsidRPr="00036FE9">
        <w:rPr>
          <w:rFonts w:ascii="Atkinson Hyperlegible" w:hAnsi="Atkinson Hyperlegible"/>
          <w:sz w:val="24"/>
          <w:szCs w:val="24"/>
          <w:lang w:val="en-US"/>
        </w:rPr>
        <w:t xml:space="preserve">. 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Routledge. </w:t>
      </w:r>
    </w:p>
    <w:p w:rsidR="00141076" w:rsidRPr="00036FE9" w:rsidRDefault="00141076" w:rsidP="00B125C5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</w:rPr>
      </w:pPr>
      <w:proofErr w:type="spellStart"/>
      <w:r w:rsidRPr="00036FE9">
        <w:rPr>
          <w:rFonts w:ascii="Atkinson Hyperlegible" w:hAnsi="Atkinson Hyperlegible"/>
          <w:sz w:val="24"/>
          <w:szCs w:val="24"/>
        </w:rPr>
        <w:lastRenderedPageBreak/>
        <w:t>Heinitz</w:t>
      </w:r>
      <w:proofErr w:type="spellEnd"/>
      <w:r w:rsidRPr="00036FE9">
        <w:rPr>
          <w:rFonts w:ascii="Atkinson Hyperlegible" w:hAnsi="Atkinson Hyperlegible"/>
          <w:sz w:val="24"/>
          <w:szCs w:val="24"/>
        </w:rPr>
        <w:t xml:space="preserve">, B. &amp; Nehring, A. (2020). Kriterien naturwissenschaftsdidaktischer Unterrichtsqualität – ein systematisches Review videobasierter Unterrichtsforschung.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>Unterrichtswissenschaft</w:t>
      </w:r>
      <w:r w:rsidRPr="00036FE9">
        <w:rPr>
          <w:rFonts w:ascii="Atkinson Hyperlegible" w:hAnsi="Atkinson Hyperlegible"/>
          <w:sz w:val="24"/>
          <w:szCs w:val="24"/>
        </w:rPr>
        <w:t xml:space="preserve">,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>48</w:t>
      </w:r>
      <w:r w:rsidRPr="00036FE9">
        <w:rPr>
          <w:rFonts w:ascii="Atkinson Hyperlegible" w:hAnsi="Atkinson Hyperlegible"/>
          <w:sz w:val="24"/>
          <w:szCs w:val="24"/>
        </w:rPr>
        <w:t>, 319–360.</w:t>
      </w:r>
    </w:p>
    <w:p w:rsidR="00141076" w:rsidRPr="00036FE9" w:rsidRDefault="004B1FF9" w:rsidP="00B125C5">
      <w:pPr>
        <w:pStyle w:val="CitaviLiteraturverzeichnis"/>
        <w:ind w:left="993" w:hanging="993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b/>
          <w:sz w:val="24"/>
          <w:szCs w:val="24"/>
        </w:rPr>
        <w:t xml:space="preserve">• </w:t>
      </w:r>
      <w:r w:rsidR="00B125C5">
        <w:rPr>
          <w:rFonts w:ascii="Atkinson Hyperlegible" w:hAnsi="Atkinson Hyperlegible"/>
          <w:b/>
          <w:sz w:val="24"/>
          <w:szCs w:val="24"/>
        </w:rPr>
        <w:t xml:space="preserve">     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Helmke, A. (2015).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</w:rPr>
        <w:t>Unterrichtsqualität und Lehrerprofessionalität. Diagnose, Evaluation und Verbesserung des Unterrichts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 (7. Aufl.). Klett-Kallmeyer. </w:t>
      </w:r>
    </w:p>
    <w:p w:rsidR="00141076" w:rsidRPr="00036FE9" w:rsidRDefault="00462A96" w:rsidP="00B125C5">
      <w:pPr>
        <w:pStyle w:val="CitaviLiteraturverzeichnis"/>
        <w:ind w:left="993" w:hanging="992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AA"/>
      </w:r>
      <w:r w:rsidRPr="00036FE9">
        <w:rPr>
          <w:rFonts w:ascii="Atkinson Hyperlegible" w:hAnsi="Atkinson Hyperlegible"/>
          <w:sz w:val="24"/>
          <w:szCs w:val="24"/>
        </w:rPr>
        <w:t xml:space="preserve"> </w:t>
      </w:r>
      <w:r w:rsidR="00B125C5">
        <w:rPr>
          <w:rFonts w:ascii="Atkinson Hyperlegible" w:hAnsi="Atkinson Hyperlegible"/>
          <w:sz w:val="24"/>
          <w:szCs w:val="24"/>
        </w:rPr>
        <w:t xml:space="preserve">    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Helmke, A. (2017).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</w:rPr>
        <w:t>Unterrichtsqualität und Lehrerprofessionalität. Diagnose, Evaluation und Verbesserung des Unterrichts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. Klett-Kallmeyer. </w:t>
      </w:r>
    </w:p>
    <w:p w:rsidR="00141076" w:rsidRPr="00036FE9" w:rsidRDefault="00462A96" w:rsidP="00B125C5">
      <w:pPr>
        <w:pStyle w:val="CitaviLiteraturverzeichnis"/>
        <w:ind w:left="993" w:hanging="992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AA"/>
      </w:r>
      <w:r w:rsidRPr="00036FE9">
        <w:rPr>
          <w:rFonts w:ascii="Atkinson Hyperlegible" w:hAnsi="Atkinson Hyperlegible"/>
          <w:sz w:val="24"/>
          <w:szCs w:val="24"/>
        </w:rPr>
        <w:t xml:space="preserve"> </w:t>
      </w:r>
      <w:r w:rsidR="00B125C5">
        <w:rPr>
          <w:rFonts w:ascii="Atkinson Hyperlegible" w:hAnsi="Atkinson Hyperlegible"/>
          <w:sz w:val="24"/>
          <w:szCs w:val="24"/>
        </w:rPr>
        <w:t xml:space="preserve">    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Hennemann, T. &amp; Hillenbrand, C. (2010). Klassenführung - </w:t>
      </w:r>
      <w:proofErr w:type="spellStart"/>
      <w:r w:rsidR="00141076" w:rsidRPr="00036FE9">
        <w:rPr>
          <w:rFonts w:ascii="Atkinson Hyperlegible" w:hAnsi="Atkinson Hyperlegible"/>
          <w:sz w:val="24"/>
          <w:szCs w:val="24"/>
        </w:rPr>
        <w:t>Classroom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</w:rPr>
        <w:t xml:space="preserve"> </w:t>
      </w:r>
      <w:proofErr w:type="spellStart"/>
      <w:r w:rsidR="00141076" w:rsidRPr="00036FE9">
        <w:rPr>
          <w:rFonts w:ascii="Atkinson Hyperlegible" w:hAnsi="Atkinson Hyperlegible"/>
          <w:sz w:val="24"/>
          <w:szCs w:val="24"/>
        </w:rPr>
        <w:t>management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</w:rPr>
        <w:t xml:space="preserve">. In B. </w:t>
      </w:r>
      <w:proofErr w:type="spellStart"/>
      <w:r w:rsidR="00141076" w:rsidRPr="00036FE9">
        <w:rPr>
          <w:rFonts w:ascii="Atkinson Hyperlegible" w:hAnsi="Atkinson Hyperlegible"/>
          <w:sz w:val="24"/>
          <w:szCs w:val="24"/>
        </w:rPr>
        <w:t>Hartke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</w:rPr>
        <w:t xml:space="preserve">, K. Koch &amp; K. Diehl (Hrsg.), </w:t>
      </w:r>
      <w:r w:rsidR="00141076" w:rsidRPr="00036FE9">
        <w:rPr>
          <w:rFonts w:ascii="Atkinson Hyperlegible" w:hAnsi="Atkinson Hyperlegible"/>
          <w:i/>
          <w:iCs/>
          <w:sz w:val="24"/>
          <w:szCs w:val="24"/>
        </w:rPr>
        <w:t xml:space="preserve">Förderung in der schulischen Eingangsstufe </w:t>
      </w:r>
      <w:r w:rsidR="00141076" w:rsidRPr="00036FE9">
        <w:rPr>
          <w:rFonts w:ascii="Atkinson Hyperlegible" w:hAnsi="Atkinson Hyperlegible"/>
          <w:sz w:val="24"/>
          <w:szCs w:val="24"/>
        </w:rPr>
        <w:t>(S. 255–279). Kohlhammer.</w:t>
      </w:r>
    </w:p>
    <w:p w:rsidR="00141076" w:rsidRPr="00036FE9" w:rsidRDefault="00141076" w:rsidP="00B125C5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t xml:space="preserve">Hillenbrand, C. &amp; Casale, G. Inklusion aus sonderpädagogischer Perspektive. In C. Mähler &amp; M. Hasselhorn (Hrsg.),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Inklusion. Chancen und Herausforderungen </w:t>
      </w:r>
      <w:r w:rsidRPr="00036FE9">
        <w:rPr>
          <w:rFonts w:ascii="Atkinson Hyperlegible" w:hAnsi="Atkinson Hyperlegible"/>
          <w:sz w:val="24"/>
          <w:szCs w:val="24"/>
        </w:rPr>
        <w:t>(S. 11–28). Hogrefe.</w:t>
      </w:r>
    </w:p>
    <w:p w:rsidR="00141076" w:rsidRPr="00036FE9" w:rsidRDefault="00141076" w:rsidP="00B125C5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Huber, K. D., Rosenfeld, J. G. &amp; Fiorello, C. (2001). The differential Impact of Inclusion and inclusive Practices on High, Average, and low Achieving General Education Students. </w:t>
      </w:r>
      <w:proofErr w:type="spellStart"/>
      <w:r w:rsidRPr="00036FE9">
        <w:rPr>
          <w:rFonts w:ascii="Atkinson Hyperlegible" w:hAnsi="Atkinson Hyperlegible"/>
          <w:i/>
          <w:iCs/>
          <w:sz w:val="24"/>
          <w:szCs w:val="24"/>
        </w:rPr>
        <w:t>Psychology</w:t>
      </w:r>
      <w:proofErr w:type="spellEnd"/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 in </w:t>
      </w:r>
      <w:proofErr w:type="spellStart"/>
      <w:r w:rsidRPr="00036FE9">
        <w:rPr>
          <w:rFonts w:ascii="Atkinson Hyperlegible" w:hAnsi="Atkinson Hyperlegible"/>
          <w:i/>
          <w:iCs/>
          <w:sz w:val="24"/>
          <w:szCs w:val="24"/>
        </w:rPr>
        <w:t>the</w:t>
      </w:r>
      <w:proofErr w:type="spellEnd"/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 </w:t>
      </w:r>
      <w:proofErr w:type="spellStart"/>
      <w:proofErr w:type="gramStart"/>
      <w:r w:rsidRPr="00036FE9">
        <w:rPr>
          <w:rFonts w:ascii="Atkinson Hyperlegible" w:hAnsi="Atkinson Hyperlegible"/>
          <w:i/>
          <w:iCs/>
          <w:sz w:val="24"/>
          <w:szCs w:val="24"/>
        </w:rPr>
        <w:t>schools</w:t>
      </w:r>
      <w:proofErr w:type="spellEnd"/>
      <w:r w:rsidRPr="00036FE9">
        <w:rPr>
          <w:rFonts w:ascii="Atkinson Hyperlegible" w:hAnsi="Atkinson Hyperlegible"/>
          <w:sz w:val="24"/>
          <w:szCs w:val="24"/>
        </w:rPr>
        <w:t>(</w:t>
      </w:r>
      <w:proofErr w:type="gramEnd"/>
      <w:r w:rsidRPr="00036FE9">
        <w:rPr>
          <w:rFonts w:ascii="Atkinson Hyperlegible" w:hAnsi="Atkinson Hyperlegible"/>
          <w:sz w:val="24"/>
          <w:szCs w:val="24"/>
        </w:rPr>
        <w:t>38), 497–504.</w:t>
      </w:r>
    </w:p>
    <w:p w:rsidR="00141076" w:rsidRPr="00036FE9" w:rsidRDefault="00141076" w:rsidP="00B125C5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t xml:space="preserve">Knoll, S. (2003).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Verwendung von Aufgaben in Einführungsphasen des Mathematikunterrichts (unveröffentlichte Dissertation). </w:t>
      </w:r>
      <w:r w:rsidRPr="00036FE9">
        <w:rPr>
          <w:rFonts w:ascii="Atkinson Hyperlegible" w:hAnsi="Atkinson Hyperlegible"/>
          <w:sz w:val="24"/>
          <w:szCs w:val="24"/>
        </w:rPr>
        <w:t xml:space="preserve">Freie Universität Berlin, Berlin. </w:t>
      </w:r>
    </w:p>
    <w:p w:rsidR="00141076" w:rsidRPr="00036FE9" w:rsidRDefault="00462A96" w:rsidP="00036FE9">
      <w:pPr>
        <w:pStyle w:val="CitaviLiteraturverzeichnis"/>
        <w:ind w:left="426" w:hanging="425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AA"/>
      </w:r>
      <w:r w:rsidRPr="00036FE9">
        <w:rPr>
          <w:rFonts w:ascii="Atkinson Hyperlegible" w:hAnsi="Atkinson Hyperlegible"/>
          <w:sz w:val="24"/>
          <w:szCs w:val="24"/>
        </w:rPr>
        <w:t xml:space="preserve"> </w:t>
      </w:r>
      <w:r w:rsidR="00B125C5">
        <w:rPr>
          <w:rFonts w:ascii="Atkinson Hyperlegible" w:hAnsi="Atkinson Hyperlegible"/>
          <w:sz w:val="24"/>
          <w:szCs w:val="24"/>
        </w:rPr>
        <w:t xml:space="preserve">    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Kounin, J. (2006).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</w:rPr>
        <w:t>Techniken der Klassenführung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. Waxmann. </w:t>
      </w:r>
    </w:p>
    <w:p w:rsidR="00141076" w:rsidRPr="00036FE9" w:rsidRDefault="00462A96" w:rsidP="00036FE9">
      <w:pPr>
        <w:pStyle w:val="CitaviLiteraturverzeichnis"/>
        <w:ind w:left="426" w:hanging="425"/>
        <w:rPr>
          <w:rFonts w:ascii="Atkinson Hyperlegible" w:hAnsi="Atkinson Hyperlegible"/>
          <w:sz w:val="24"/>
          <w:szCs w:val="24"/>
          <w:lang w:val="en-US"/>
        </w:rPr>
      </w:pPr>
      <w:r w:rsidRPr="00036FE9">
        <w:rPr>
          <w:rFonts w:ascii="Atkinson Hyperlegible" w:hAnsi="Atkinson Hyperlegible"/>
          <w:b/>
          <w:sz w:val="24"/>
          <w:szCs w:val="24"/>
        </w:rPr>
        <w:t xml:space="preserve">• </w:t>
      </w:r>
      <w:r w:rsidRPr="00036FE9">
        <w:rPr>
          <w:rFonts w:ascii="Atkinson Hyperlegible" w:hAnsi="Atkinson Hyperlegible"/>
          <w:sz w:val="24"/>
          <w:szCs w:val="24"/>
        </w:rPr>
        <w:sym w:font="Wingdings" w:char="F073"/>
      </w:r>
      <w:r w:rsidR="00B125C5">
        <w:rPr>
          <w:rFonts w:ascii="Atkinson Hyperlegible" w:hAnsi="Atkinson Hyperlegible"/>
          <w:sz w:val="24"/>
          <w:szCs w:val="24"/>
        </w:rPr>
        <w:t xml:space="preserve">   </w:t>
      </w:r>
      <w:r w:rsidRPr="00036FE9">
        <w:rPr>
          <w:rFonts w:ascii="Atkinson Hyperlegible" w:hAnsi="Atkinson Hyperlegible"/>
          <w:sz w:val="24"/>
          <w:szCs w:val="24"/>
        </w:rPr>
        <w:t xml:space="preserve"> 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Kunter, M. &amp; Trautwein, U. (2013).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</w:rPr>
        <w:t>Psychologie des Unterrichts.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 </w:t>
      </w:r>
      <w:proofErr w:type="spellStart"/>
      <w:r w:rsidR="00141076" w:rsidRPr="00036FE9">
        <w:rPr>
          <w:rFonts w:ascii="Atkinson Hyperlegible" w:hAnsi="Atkinson Hyperlegible"/>
          <w:sz w:val="24"/>
          <w:szCs w:val="24"/>
          <w:lang w:val="en-US"/>
        </w:rPr>
        <w:t>Schöningh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  <w:lang w:val="en-US"/>
        </w:rPr>
        <w:t xml:space="preserve">. </w:t>
      </w:r>
    </w:p>
    <w:p w:rsidR="00141076" w:rsidRPr="00036FE9" w:rsidRDefault="00462A96" w:rsidP="00036FE9">
      <w:pPr>
        <w:pStyle w:val="CitaviLiteraturverzeichnis"/>
        <w:ind w:left="426" w:hanging="425"/>
        <w:rPr>
          <w:rFonts w:ascii="Atkinson Hyperlegible" w:hAnsi="Atkinson Hyperlegible"/>
          <w:sz w:val="24"/>
          <w:szCs w:val="24"/>
          <w:lang w:val="en-US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73"/>
      </w:r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 </w:t>
      </w:r>
      <w:r w:rsidR="00B125C5">
        <w:rPr>
          <w:rFonts w:ascii="Atkinson Hyperlegible" w:hAnsi="Atkinson Hyperlegible"/>
          <w:sz w:val="24"/>
          <w:szCs w:val="24"/>
          <w:lang w:val="en-US"/>
        </w:rPr>
        <w:t xml:space="preserve">      </w:t>
      </w:r>
      <w:r w:rsidR="00141076" w:rsidRPr="00036FE9">
        <w:rPr>
          <w:rFonts w:ascii="Atkinson Hyperlegible" w:hAnsi="Atkinson Hyperlegible"/>
          <w:sz w:val="24"/>
          <w:szCs w:val="24"/>
          <w:lang w:val="en-US"/>
        </w:rPr>
        <w:t xml:space="preserve">Lehner, M. (2019). </w:t>
      </w:r>
      <w:proofErr w:type="spellStart"/>
      <w:r w:rsidR="00141076"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>Didaktik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  <w:lang w:val="en-US"/>
        </w:rPr>
        <w:t xml:space="preserve">. Haupt. </w:t>
      </w:r>
    </w:p>
    <w:p w:rsidR="00141076" w:rsidRPr="00036FE9" w:rsidRDefault="00141076" w:rsidP="00B125C5">
      <w:pPr>
        <w:pStyle w:val="CitaviLiteraturverzeichnis"/>
        <w:ind w:left="993" w:hanging="425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Lindsay, G. (2007). Educational psychology and the effectiveness of inclusive education/ mainstreaming.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British Journal </w:t>
      </w:r>
      <w:proofErr w:type="spellStart"/>
      <w:r w:rsidRPr="00036FE9">
        <w:rPr>
          <w:rFonts w:ascii="Atkinson Hyperlegible" w:hAnsi="Atkinson Hyperlegible"/>
          <w:i/>
          <w:iCs/>
          <w:sz w:val="24"/>
          <w:szCs w:val="24"/>
        </w:rPr>
        <w:t>of</w:t>
      </w:r>
      <w:proofErr w:type="spellEnd"/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 Educational </w:t>
      </w:r>
      <w:proofErr w:type="spellStart"/>
      <w:r w:rsidRPr="00036FE9">
        <w:rPr>
          <w:rFonts w:ascii="Atkinson Hyperlegible" w:hAnsi="Atkinson Hyperlegible"/>
          <w:i/>
          <w:iCs/>
          <w:sz w:val="24"/>
          <w:szCs w:val="24"/>
        </w:rPr>
        <w:t>Psychology</w:t>
      </w:r>
      <w:proofErr w:type="spellEnd"/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 </w:t>
      </w:r>
      <w:r w:rsidRPr="00036FE9">
        <w:rPr>
          <w:rFonts w:ascii="Atkinson Hyperlegible" w:hAnsi="Atkinson Hyperlegible"/>
          <w:sz w:val="24"/>
          <w:szCs w:val="24"/>
        </w:rPr>
        <w:t>(77), 1–24.</w:t>
      </w:r>
    </w:p>
    <w:p w:rsidR="00141076" w:rsidRPr="00036FE9" w:rsidRDefault="00141076" w:rsidP="00B125C5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</w:rPr>
      </w:pPr>
      <w:proofErr w:type="spellStart"/>
      <w:r w:rsidRPr="00036FE9">
        <w:rPr>
          <w:rFonts w:ascii="Atkinson Hyperlegible" w:hAnsi="Atkinson Hyperlegible"/>
          <w:sz w:val="24"/>
          <w:szCs w:val="24"/>
        </w:rPr>
        <w:t>Lipowksy</w:t>
      </w:r>
      <w:proofErr w:type="spellEnd"/>
      <w:r w:rsidRPr="00036FE9">
        <w:rPr>
          <w:rFonts w:ascii="Atkinson Hyperlegible" w:hAnsi="Atkinson Hyperlegible"/>
          <w:sz w:val="24"/>
          <w:szCs w:val="24"/>
        </w:rPr>
        <w:t xml:space="preserve">, F. (2002). Zur Qualität offener Lernsituationen im Spiegel empirischer Forschung – Auf die Mikroebene kommt es an. In U. Michailow-Drews &amp; W. Wallrabenstein (Hrsg.),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Beiträge zur Reform der Grundschule: Freiarbeit in der Grundschule: Offener Unterricht in Theorie, Forschung und Praxis </w:t>
      </w:r>
      <w:r w:rsidRPr="00036FE9">
        <w:rPr>
          <w:rFonts w:ascii="Atkinson Hyperlegible" w:hAnsi="Atkinson Hyperlegible"/>
          <w:sz w:val="24"/>
          <w:szCs w:val="24"/>
        </w:rPr>
        <w:t>(Bd. 114, S. 126–159). Grundschulverband - Arbeitskreis Grundschule.</w:t>
      </w:r>
    </w:p>
    <w:p w:rsidR="00141076" w:rsidRPr="00036FE9" w:rsidRDefault="00141076" w:rsidP="00B125C5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  <w:lang w:val="en-US"/>
        </w:rPr>
      </w:pPr>
      <w:r w:rsidRPr="00036FE9">
        <w:rPr>
          <w:rFonts w:ascii="Atkinson Hyperlegible" w:hAnsi="Atkinson Hyperlegible"/>
          <w:sz w:val="24"/>
          <w:szCs w:val="24"/>
        </w:rPr>
        <w:t xml:space="preserve">Mähler, C. &amp; Hasselhorn, M. (Hrsg.).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>Inklusion. Chancen und Herausforderungen</w:t>
      </w:r>
      <w:r w:rsidRPr="00036FE9">
        <w:rPr>
          <w:rFonts w:ascii="Atkinson Hyperlegible" w:hAnsi="Atkinson Hyperlegible"/>
          <w:sz w:val="24"/>
          <w:szCs w:val="24"/>
        </w:rPr>
        <w:t xml:space="preserve">. </w:t>
      </w:r>
      <w:proofErr w:type="spellStart"/>
      <w:r w:rsidRPr="00036FE9">
        <w:rPr>
          <w:rFonts w:ascii="Atkinson Hyperlegible" w:hAnsi="Atkinson Hyperlegible"/>
          <w:sz w:val="24"/>
          <w:szCs w:val="24"/>
          <w:lang w:val="en-US"/>
        </w:rPr>
        <w:t>Hogrefe</w:t>
      </w:r>
      <w:proofErr w:type="spellEnd"/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. </w:t>
      </w:r>
    </w:p>
    <w:p w:rsidR="00141076" w:rsidRPr="00036FE9" w:rsidRDefault="00141076" w:rsidP="00B125C5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Mastropieri, M. A. &amp; Scruggs, T. E. (2001). Promoting inclusion in secondary classrooms.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Learning Disability Quarterly </w:t>
      </w:r>
      <w:r w:rsidRPr="00036FE9">
        <w:rPr>
          <w:rFonts w:ascii="Atkinson Hyperlegible" w:hAnsi="Atkinson Hyperlegible"/>
          <w:sz w:val="24"/>
          <w:szCs w:val="24"/>
        </w:rPr>
        <w:t>(24), 265–274.</w:t>
      </w:r>
    </w:p>
    <w:p w:rsidR="00141076" w:rsidRPr="00036FE9" w:rsidRDefault="00141076" w:rsidP="00B125C5">
      <w:pPr>
        <w:pStyle w:val="CitaviLiteraturverzeichnis"/>
        <w:ind w:left="993" w:hanging="425"/>
        <w:rPr>
          <w:rFonts w:ascii="Atkinson Hyperlegible" w:hAnsi="Atkinson Hyperlegible"/>
          <w:sz w:val="24"/>
          <w:szCs w:val="24"/>
          <w:lang w:val="en-US"/>
        </w:rPr>
      </w:pPr>
      <w:r w:rsidRPr="00036FE9">
        <w:rPr>
          <w:rFonts w:ascii="Atkinson Hyperlegible" w:hAnsi="Atkinson Hyperlegible"/>
          <w:sz w:val="24"/>
          <w:szCs w:val="24"/>
        </w:rPr>
        <w:lastRenderedPageBreak/>
        <w:t xml:space="preserve">Michailow-Drews, U. &amp; Wallrabenstein, W. (Hrsg.).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>Beiträge zur Reform der Grundschule: Freiarbeit in der Grundschule: Offener Unterricht in Theorie, Forschung und Praxis</w:t>
      </w:r>
      <w:r w:rsidRPr="00036FE9">
        <w:rPr>
          <w:rFonts w:ascii="Atkinson Hyperlegible" w:hAnsi="Atkinson Hyperlegible"/>
          <w:sz w:val="24"/>
          <w:szCs w:val="24"/>
        </w:rPr>
        <w:t xml:space="preserve"> (Bd. 144). </w:t>
      </w:r>
      <w:proofErr w:type="spellStart"/>
      <w:r w:rsidRPr="00036FE9">
        <w:rPr>
          <w:rFonts w:ascii="Atkinson Hyperlegible" w:hAnsi="Atkinson Hyperlegible"/>
          <w:sz w:val="24"/>
          <w:szCs w:val="24"/>
          <w:lang w:val="en-US"/>
        </w:rPr>
        <w:t>Grundschulverband</w:t>
      </w:r>
      <w:proofErr w:type="spellEnd"/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 - </w:t>
      </w:r>
      <w:proofErr w:type="spellStart"/>
      <w:r w:rsidRPr="00036FE9">
        <w:rPr>
          <w:rFonts w:ascii="Atkinson Hyperlegible" w:hAnsi="Atkinson Hyperlegible"/>
          <w:sz w:val="24"/>
          <w:szCs w:val="24"/>
          <w:lang w:val="en-US"/>
        </w:rPr>
        <w:t>Arbeitskreis</w:t>
      </w:r>
      <w:proofErr w:type="spellEnd"/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 </w:t>
      </w:r>
      <w:proofErr w:type="spellStart"/>
      <w:r w:rsidRPr="00036FE9">
        <w:rPr>
          <w:rFonts w:ascii="Atkinson Hyperlegible" w:hAnsi="Atkinson Hyperlegible"/>
          <w:sz w:val="24"/>
          <w:szCs w:val="24"/>
          <w:lang w:val="en-US"/>
        </w:rPr>
        <w:t>Grundschule</w:t>
      </w:r>
      <w:proofErr w:type="spellEnd"/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. </w:t>
      </w:r>
    </w:p>
    <w:p w:rsidR="00141076" w:rsidRPr="00036FE9" w:rsidRDefault="00141076" w:rsidP="00B125C5">
      <w:pPr>
        <w:pStyle w:val="CitaviLiteraturverzeichnis"/>
        <w:ind w:left="993" w:hanging="425"/>
        <w:rPr>
          <w:rFonts w:ascii="Atkinson Hyperlegible" w:hAnsi="Atkinson Hyperlegible"/>
          <w:sz w:val="24"/>
          <w:szCs w:val="24"/>
        </w:rPr>
      </w:pPr>
      <w:proofErr w:type="spellStart"/>
      <w:r w:rsidRPr="00036FE9">
        <w:rPr>
          <w:rFonts w:ascii="Atkinson Hyperlegible" w:hAnsi="Atkinson Hyperlegible"/>
          <w:sz w:val="24"/>
          <w:szCs w:val="24"/>
          <w:lang w:val="en-US"/>
        </w:rPr>
        <w:t>Okilwa</w:t>
      </w:r>
      <w:proofErr w:type="spellEnd"/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, N. &amp; Shelby, L. (2010). The Effects of Peer Tutoring on Academic Performance of Students with Disabilities in Grades 6 through 12: A Synthesis of the Literature. </w:t>
      </w:r>
      <w:proofErr w:type="spellStart"/>
      <w:r w:rsidRPr="00036FE9">
        <w:rPr>
          <w:rFonts w:ascii="Atkinson Hyperlegible" w:hAnsi="Atkinson Hyperlegible"/>
          <w:i/>
          <w:iCs/>
          <w:sz w:val="24"/>
          <w:szCs w:val="24"/>
        </w:rPr>
        <w:t>Remedial</w:t>
      </w:r>
      <w:proofErr w:type="spellEnd"/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 and Special Education </w:t>
      </w:r>
      <w:r w:rsidRPr="00036FE9">
        <w:rPr>
          <w:rFonts w:ascii="Atkinson Hyperlegible" w:hAnsi="Atkinson Hyperlegible"/>
          <w:sz w:val="24"/>
          <w:szCs w:val="24"/>
        </w:rPr>
        <w:t>(31), 450–463.</w:t>
      </w:r>
    </w:p>
    <w:p w:rsidR="00141076" w:rsidRPr="00036FE9" w:rsidRDefault="00462A96" w:rsidP="00036FE9">
      <w:pPr>
        <w:pStyle w:val="CitaviLiteraturverzeichnis"/>
        <w:ind w:left="426" w:hanging="425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73"/>
      </w:r>
      <w:r w:rsidR="00B125C5">
        <w:rPr>
          <w:rFonts w:ascii="Atkinson Hyperlegible" w:hAnsi="Atkinson Hyperlegible"/>
          <w:sz w:val="24"/>
          <w:szCs w:val="24"/>
        </w:rPr>
        <w:t xml:space="preserve">       </w:t>
      </w:r>
      <w:proofErr w:type="spellStart"/>
      <w:r w:rsidR="00141076" w:rsidRPr="00036FE9">
        <w:rPr>
          <w:rFonts w:ascii="Atkinson Hyperlegible" w:hAnsi="Atkinson Hyperlegible"/>
          <w:sz w:val="24"/>
          <w:szCs w:val="24"/>
        </w:rPr>
        <w:t>Peterßen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</w:rPr>
        <w:t xml:space="preserve">, W. H. (2004).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</w:rPr>
        <w:t>Lehrbuch allgemeine Didaktik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 (6. Aufl.). </w:t>
      </w:r>
      <w:proofErr w:type="spellStart"/>
      <w:r w:rsidR="00141076" w:rsidRPr="00036FE9">
        <w:rPr>
          <w:rFonts w:ascii="Atkinson Hyperlegible" w:hAnsi="Atkinson Hyperlegible"/>
          <w:sz w:val="24"/>
          <w:szCs w:val="24"/>
        </w:rPr>
        <w:t>Oldenbourg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</w:rPr>
        <w:t xml:space="preserve">. </w:t>
      </w:r>
    </w:p>
    <w:p w:rsidR="00141076" w:rsidRPr="00036FE9" w:rsidRDefault="00141076" w:rsidP="00B125C5">
      <w:pPr>
        <w:pStyle w:val="CitaviLiteraturverzeichnis"/>
        <w:ind w:left="993" w:hanging="425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t>Praetorius, A.</w:t>
      </w:r>
      <w:r w:rsidRPr="00036FE9">
        <w:rPr>
          <w:rFonts w:ascii="Atkinson Hyperlegible" w:hAnsi="Atkinson Hyperlegible"/>
          <w:sz w:val="24"/>
          <w:szCs w:val="24"/>
        </w:rPr>
        <w:noBreakHyphen/>
        <w:t xml:space="preserve">K., Herrmann, C., Gerlach, E., </w:t>
      </w:r>
      <w:proofErr w:type="spellStart"/>
      <w:r w:rsidRPr="00036FE9">
        <w:rPr>
          <w:rFonts w:ascii="Atkinson Hyperlegible" w:hAnsi="Atkinson Hyperlegible"/>
          <w:sz w:val="24"/>
          <w:szCs w:val="24"/>
        </w:rPr>
        <w:t>Zülsdorf</w:t>
      </w:r>
      <w:proofErr w:type="spellEnd"/>
      <w:r w:rsidRPr="00036FE9">
        <w:rPr>
          <w:rFonts w:ascii="Atkinson Hyperlegible" w:hAnsi="Atkinson Hyperlegible"/>
          <w:sz w:val="24"/>
          <w:szCs w:val="24"/>
        </w:rPr>
        <w:t xml:space="preserve">-Kersting, M., </w:t>
      </w:r>
      <w:proofErr w:type="spellStart"/>
      <w:r w:rsidRPr="00036FE9">
        <w:rPr>
          <w:rFonts w:ascii="Atkinson Hyperlegible" w:hAnsi="Atkinson Hyperlegible"/>
          <w:sz w:val="24"/>
          <w:szCs w:val="24"/>
        </w:rPr>
        <w:t>Heinitz</w:t>
      </w:r>
      <w:proofErr w:type="spellEnd"/>
      <w:r w:rsidRPr="00036FE9">
        <w:rPr>
          <w:rFonts w:ascii="Atkinson Hyperlegible" w:hAnsi="Atkinson Hyperlegible"/>
          <w:sz w:val="24"/>
          <w:szCs w:val="24"/>
        </w:rPr>
        <w:t xml:space="preserve">, B. &amp; Nehring, A. (2020). Unterrichtsqualität in den Fachdidaktiken im deutschsprachigen Raum – zwischen </w:t>
      </w:r>
      <w:proofErr w:type="spellStart"/>
      <w:r w:rsidRPr="00036FE9">
        <w:rPr>
          <w:rFonts w:ascii="Atkinson Hyperlegible" w:hAnsi="Atkinson Hyperlegible"/>
          <w:sz w:val="24"/>
          <w:szCs w:val="24"/>
        </w:rPr>
        <w:t>Generik</w:t>
      </w:r>
      <w:proofErr w:type="spellEnd"/>
      <w:r w:rsidRPr="00036FE9">
        <w:rPr>
          <w:rFonts w:ascii="Atkinson Hyperlegible" w:hAnsi="Atkinson Hyperlegible"/>
          <w:sz w:val="24"/>
          <w:szCs w:val="24"/>
        </w:rPr>
        <w:t xml:space="preserve"> und Fachspezifik.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Unterrichtswissenschaft </w:t>
      </w:r>
      <w:r w:rsidRPr="00036FE9">
        <w:rPr>
          <w:rFonts w:ascii="Atkinson Hyperlegible" w:hAnsi="Atkinson Hyperlegible"/>
          <w:sz w:val="24"/>
          <w:szCs w:val="24"/>
        </w:rPr>
        <w:t>(48), 409–446.</w:t>
      </w:r>
    </w:p>
    <w:p w:rsidR="00141076" w:rsidRPr="00036FE9" w:rsidRDefault="00141076" w:rsidP="00B125C5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t>Praetorius, A.</w:t>
      </w:r>
      <w:r w:rsidRPr="00036FE9">
        <w:rPr>
          <w:rFonts w:ascii="Atkinson Hyperlegible" w:hAnsi="Atkinson Hyperlegible"/>
          <w:sz w:val="24"/>
          <w:szCs w:val="24"/>
        </w:rPr>
        <w:noBreakHyphen/>
        <w:t xml:space="preserve">K. &amp; Nehring, A. (2020). Unterrichtsqualität zwischen </w:t>
      </w:r>
      <w:proofErr w:type="spellStart"/>
      <w:r w:rsidRPr="00036FE9">
        <w:rPr>
          <w:rFonts w:ascii="Atkinson Hyperlegible" w:hAnsi="Atkinson Hyperlegible"/>
          <w:sz w:val="24"/>
          <w:szCs w:val="24"/>
        </w:rPr>
        <w:t>Generik</w:t>
      </w:r>
      <w:proofErr w:type="spellEnd"/>
      <w:r w:rsidRPr="00036FE9">
        <w:rPr>
          <w:rFonts w:ascii="Atkinson Hyperlegible" w:hAnsi="Atkinson Hyperlegible"/>
          <w:sz w:val="24"/>
          <w:szCs w:val="24"/>
        </w:rPr>
        <w:t xml:space="preserve"> und Fachspezifik: Einführung in den Thementeil.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Unterrichtswissenschaft </w:t>
      </w:r>
      <w:r w:rsidRPr="00036FE9">
        <w:rPr>
          <w:rFonts w:ascii="Atkinson Hyperlegible" w:hAnsi="Atkinson Hyperlegible"/>
          <w:sz w:val="24"/>
          <w:szCs w:val="24"/>
        </w:rPr>
        <w:t>(48), 297–301.</w:t>
      </w:r>
    </w:p>
    <w:p w:rsidR="00141076" w:rsidRPr="00036FE9" w:rsidRDefault="00462A96" w:rsidP="00EB3227">
      <w:pPr>
        <w:pStyle w:val="CitaviLiteraturverzeichnis"/>
        <w:ind w:left="993" w:hanging="993"/>
        <w:rPr>
          <w:rFonts w:ascii="Atkinson Hyperlegible" w:hAnsi="Atkinson Hyperlegible"/>
          <w:sz w:val="24"/>
          <w:szCs w:val="24"/>
          <w:lang w:val="en-US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73"/>
      </w:r>
      <w:r w:rsidRPr="00036FE9">
        <w:rPr>
          <w:rFonts w:ascii="Atkinson Hyperlegible" w:hAnsi="Atkinson Hyperlegible"/>
          <w:sz w:val="24"/>
          <w:szCs w:val="24"/>
        </w:rPr>
        <w:t xml:space="preserve"> </w:t>
      </w:r>
      <w:r w:rsidR="00EB3227">
        <w:rPr>
          <w:rFonts w:ascii="Atkinson Hyperlegible" w:hAnsi="Atkinson Hyperlegible"/>
          <w:sz w:val="24"/>
          <w:szCs w:val="24"/>
        </w:rPr>
        <w:t xml:space="preserve">      </w:t>
      </w:r>
      <w:r w:rsidR="00141076" w:rsidRPr="00036FE9">
        <w:rPr>
          <w:rFonts w:ascii="Atkinson Hyperlegible" w:hAnsi="Atkinson Hyperlegible"/>
          <w:sz w:val="24"/>
          <w:szCs w:val="24"/>
        </w:rPr>
        <w:t>Praetorius, A.</w:t>
      </w:r>
      <w:r w:rsidR="00141076" w:rsidRPr="00036FE9">
        <w:rPr>
          <w:rFonts w:ascii="Atkinson Hyperlegible" w:hAnsi="Atkinson Hyperlegible"/>
          <w:sz w:val="24"/>
          <w:szCs w:val="24"/>
        </w:rPr>
        <w:noBreakHyphen/>
        <w:t xml:space="preserve">K., </w:t>
      </w:r>
      <w:proofErr w:type="spellStart"/>
      <w:r w:rsidR="00141076" w:rsidRPr="00036FE9">
        <w:rPr>
          <w:rFonts w:ascii="Atkinson Hyperlegible" w:hAnsi="Atkinson Hyperlegible"/>
          <w:sz w:val="24"/>
          <w:szCs w:val="24"/>
        </w:rPr>
        <w:t>Rogh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</w:rPr>
        <w:t xml:space="preserve">, W. &amp; </w:t>
      </w:r>
      <w:proofErr w:type="spellStart"/>
      <w:r w:rsidR="00141076" w:rsidRPr="00036FE9">
        <w:rPr>
          <w:rFonts w:ascii="Atkinson Hyperlegible" w:hAnsi="Atkinson Hyperlegible"/>
          <w:sz w:val="24"/>
          <w:szCs w:val="24"/>
        </w:rPr>
        <w:t>Kleickmann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</w:rPr>
        <w:t xml:space="preserve">, T. (2020). Blinde Flecken des Modells der drei Basisdimensionen von Unterrichtsqualität? Das Modell im Spiegel einer internationalen Synthese von Merkmalen der Unterrichtsqualität. </w:t>
      </w:r>
      <w:proofErr w:type="spellStart"/>
      <w:r w:rsidR="00141076"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>Unterrichtswissenschaft</w:t>
      </w:r>
      <w:proofErr w:type="spellEnd"/>
      <w:r w:rsidR="00141076"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 xml:space="preserve"> </w:t>
      </w:r>
      <w:r w:rsidR="00141076" w:rsidRPr="00036FE9">
        <w:rPr>
          <w:rFonts w:ascii="Atkinson Hyperlegible" w:hAnsi="Atkinson Hyperlegible"/>
          <w:sz w:val="24"/>
          <w:szCs w:val="24"/>
          <w:lang w:val="en-US"/>
        </w:rPr>
        <w:t>(48), 303–318.</w:t>
      </w:r>
    </w:p>
    <w:p w:rsidR="00141076" w:rsidRPr="00036FE9" w:rsidRDefault="00141076" w:rsidP="00EB3227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  <w:lang w:val="en-US"/>
        </w:rPr>
      </w:pPr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Seidel, T. &amp; Shavelson, R. J. (2007). Teaching effectiveness research in the last decade: Role of theory and research design in disentangling meta-analysis results, </w:t>
      </w:r>
      <w:r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>4</w:t>
      </w:r>
      <w:r w:rsidRPr="00036FE9">
        <w:rPr>
          <w:rFonts w:ascii="Atkinson Hyperlegible" w:hAnsi="Atkinson Hyperlegible"/>
          <w:sz w:val="24"/>
          <w:szCs w:val="24"/>
          <w:lang w:val="en-US"/>
        </w:rPr>
        <w:t>(77), 454–499.</w:t>
      </w:r>
    </w:p>
    <w:p w:rsidR="00141076" w:rsidRPr="00036FE9" w:rsidRDefault="00141076" w:rsidP="00EB3227">
      <w:pPr>
        <w:pStyle w:val="CitaviLiteraturverzeichnis"/>
        <w:ind w:left="993" w:hanging="425"/>
        <w:rPr>
          <w:rFonts w:ascii="Atkinson Hyperlegible" w:hAnsi="Atkinson Hyperlegible"/>
          <w:sz w:val="24"/>
          <w:szCs w:val="24"/>
          <w:lang w:val="en-US"/>
        </w:rPr>
      </w:pPr>
      <w:proofErr w:type="spellStart"/>
      <w:r w:rsidRPr="00036FE9">
        <w:rPr>
          <w:rFonts w:ascii="Atkinson Hyperlegible" w:hAnsi="Atkinson Hyperlegible"/>
          <w:sz w:val="24"/>
          <w:szCs w:val="24"/>
          <w:lang w:val="en-US"/>
        </w:rPr>
        <w:t>Slavin</w:t>
      </w:r>
      <w:proofErr w:type="spellEnd"/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, R. E. &amp; Lake, C. (2008). Effective Programs in Elementary Mathematics: A Best-Evidence Synthesis. </w:t>
      </w:r>
      <w:r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 xml:space="preserve">Review of Educational Research </w:t>
      </w:r>
      <w:r w:rsidRPr="00036FE9">
        <w:rPr>
          <w:rFonts w:ascii="Atkinson Hyperlegible" w:hAnsi="Atkinson Hyperlegible"/>
          <w:sz w:val="24"/>
          <w:szCs w:val="24"/>
          <w:lang w:val="en-US"/>
        </w:rPr>
        <w:t>(78), 427–515.</w:t>
      </w:r>
    </w:p>
    <w:p w:rsidR="00141076" w:rsidRPr="00036FE9" w:rsidRDefault="00462A96" w:rsidP="00EB3227">
      <w:pPr>
        <w:pStyle w:val="CitaviLiteraturverzeichnis"/>
        <w:ind w:left="993" w:hanging="992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AA"/>
      </w:r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 </w:t>
      </w:r>
      <w:r w:rsidR="00EB3227">
        <w:rPr>
          <w:rFonts w:ascii="Atkinson Hyperlegible" w:hAnsi="Atkinson Hyperlegible"/>
          <w:sz w:val="24"/>
          <w:szCs w:val="24"/>
          <w:lang w:val="en-US"/>
        </w:rPr>
        <w:t xml:space="preserve">    </w:t>
      </w:r>
      <w:proofErr w:type="spellStart"/>
      <w:r w:rsidR="00141076" w:rsidRPr="00036FE9">
        <w:rPr>
          <w:rFonts w:ascii="Atkinson Hyperlegible" w:hAnsi="Atkinson Hyperlegible"/>
          <w:sz w:val="24"/>
          <w:szCs w:val="24"/>
          <w:lang w:val="en-US"/>
        </w:rPr>
        <w:t>Toman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  <w:lang w:val="en-US"/>
        </w:rPr>
        <w:t xml:space="preserve">, H. (2007).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 xml:space="preserve">Classroom-Management. </w:t>
      </w:r>
      <w:proofErr w:type="spellStart"/>
      <w:r w:rsidR="00141076"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>Praxishilfen</w:t>
      </w:r>
      <w:proofErr w:type="spellEnd"/>
      <w:r w:rsidR="00141076"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 xml:space="preserve"> </w:t>
      </w:r>
      <w:proofErr w:type="spellStart"/>
      <w:r w:rsidR="00141076"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>für</w:t>
      </w:r>
      <w:proofErr w:type="spellEnd"/>
      <w:r w:rsidR="00141076"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 xml:space="preserve"> das Classroom-Management</w:t>
      </w:r>
      <w:r w:rsidR="00141076" w:rsidRPr="00036FE9">
        <w:rPr>
          <w:rFonts w:ascii="Atkinson Hyperlegible" w:hAnsi="Atkinson Hyperlegible"/>
          <w:sz w:val="24"/>
          <w:szCs w:val="24"/>
          <w:lang w:val="en-US"/>
        </w:rPr>
        <w:t xml:space="preserve">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</w:rPr>
        <w:t>Basiswissen Grundschule: Bd. 25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. Schneider Hohengehren. </w:t>
      </w:r>
    </w:p>
    <w:p w:rsidR="00141076" w:rsidRPr="00036FE9" w:rsidRDefault="00462A96" w:rsidP="00EB3227">
      <w:pPr>
        <w:pStyle w:val="CitaviLiteraturverzeichnis"/>
        <w:ind w:left="993" w:hanging="993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</w:rPr>
        <w:sym w:font="Wingdings" w:char="F073"/>
      </w:r>
      <w:r w:rsidRPr="00036FE9">
        <w:rPr>
          <w:rFonts w:ascii="Atkinson Hyperlegible" w:hAnsi="Atkinson Hyperlegible"/>
          <w:sz w:val="24"/>
          <w:szCs w:val="24"/>
        </w:rPr>
        <w:t xml:space="preserve"> </w:t>
      </w:r>
      <w:r w:rsidR="00EB3227">
        <w:rPr>
          <w:rFonts w:ascii="Atkinson Hyperlegible" w:hAnsi="Atkinson Hyperlegible"/>
          <w:sz w:val="24"/>
          <w:szCs w:val="24"/>
        </w:rPr>
        <w:t xml:space="preserve">     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Trautwein, U., </w:t>
      </w:r>
      <w:proofErr w:type="spellStart"/>
      <w:r w:rsidR="00141076" w:rsidRPr="00036FE9">
        <w:rPr>
          <w:rFonts w:ascii="Atkinson Hyperlegible" w:hAnsi="Atkinson Hyperlegible"/>
          <w:sz w:val="24"/>
          <w:szCs w:val="24"/>
        </w:rPr>
        <w:t>Sliwka</w:t>
      </w:r>
      <w:proofErr w:type="spellEnd"/>
      <w:r w:rsidR="00141076" w:rsidRPr="00036FE9">
        <w:rPr>
          <w:rFonts w:ascii="Atkinson Hyperlegible" w:hAnsi="Atkinson Hyperlegible"/>
          <w:sz w:val="24"/>
          <w:szCs w:val="24"/>
        </w:rPr>
        <w:t xml:space="preserve">, A. &amp; Dehmel, A. (2018).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</w:rPr>
        <w:t>Grundlagen für einen wirksamen Unterricht. Stuttgart: Landesinstitut für Schulentwicklung</w:t>
      </w:r>
      <w:r w:rsidR="00141076" w:rsidRPr="00036FE9">
        <w:rPr>
          <w:rFonts w:ascii="Atkinson Hyperlegible" w:hAnsi="Atkinson Hyperlegible"/>
          <w:sz w:val="24"/>
          <w:szCs w:val="24"/>
        </w:rPr>
        <w:t>. https://ibbw.kultus-bw.de/site/pbs-bw-new/get/documents/KULTUS.Dachmandant/KULTUS/Dienststellen/ibbw/Empirische%20Bildungsforschung/Programme-und-Projekte/Wirksamer_Unterricht/Wirksamer%20Unterricht%20-%20Band%201_Trautwein%20et%20al.%20%282018%29_Grundlagen.pdf</w:t>
      </w:r>
    </w:p>
    <w:p w:rsidR="00141076" w:rsidRPr="00036FE9" w:rsidRDefault="004B1FF9" w:rsidP="00EB3227">
      <w:pPr>
        <w:pStyle w:val="CitaviLiteraturverzeichnis"/>
        <w:ind w:left="993" w:hanging="992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b/>
          <w:sz w:val="24"/>
          <w:szCs w:val="24"/>
        </w:rPr>
        <w:t xml:space="preserve">• </w:t>
      </w:r>
      <w:r w:rsidR="00EB3227">
        <w:rPr>
          <w:rFonts w:ascii="Atkinson Hyperlegible" w:hAnsi="Atkinson Hyperlegible"/>
          <w:b/>
          <w:sz w:val="24"/>
          <w:szCs w:val="24"/>
        </w:rPr>
        <w:t xml:space="preserve">     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UNESCO (Hrsg.). (2014). </w:t>
      </w:r>
      <w:r w:rsidR="00141076" w:rsidRPr="00036FE9">
        <w:rPr>
          <w:rFonts w:ascii="Atkinson Hyperlegible" w:hAnsi="Atkinson Hyperlegible"/>
          <w:i/>
          <w:iCs/>
          <w:sz w:val="24"/>
          <w:szCs w:val="24"/>
        </w:rPr>
        <w:t>Inklusion: Leitlinien für die Bildungspolitik.</w:t>
      </w:r>
      <w:r w:rsidR="00141076" w:rsidRPr="00036FE9">
        <w:rPr>
          <w:rFonts w:ascii="Atkinson Hyperlegible" w:hAnsi="Atkinson Hyperlegible"/>
          <w:sz w:val="24"/>
          <w:szCs w:val="24"/>
        </w:rPr>
        <w:t xml:space="preserve"> https://www.unesco.de/sites/default/files/2018-05/2014_Leitlinien_inklusive_Bildung.pdf</w:t>
      </w:r>
    </w:p>
    <w:p w:rsidR="00141076" w:rsidRPr="00036FE9" w:rsidRDefault="00141076" w:rsidP="00EB3227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  <w:lang w:val="en-US"/>
        </w:rPr>
      </w:pPr>
      <w:r w:rsidRPr="00036FE9">
        <w:rPr>
          <w:rFonts w:ascii="Atkinson Hyperlegible" w:hAnsi="Atkinson Hyperlegible"/>
          <w:sz w:val="24"/>
          <w:szCs w:val="24"/>
          <w:lang w:val="en-US"/>
        </w:rPr>
        <w:lastRenderedPageBreak/>
        <w:t>United Nations (</w:t>
      </w:r>
      <w:proofErr w:type="spellStart"/>
      <w:r w:rsidRPr="00036FE9">
        <w:rPr>
          <w:rFonts w:ascii="Atkinson Hyperlegible" w:hAnsi="Atkinson Hyperlegible"/>
          <w:sz w:val="24"/>
          <w:szCs w:val="24"/>
          <w:lang w:val="en-US"/>
        </w:rPr>
        <w:t>Hrsg</w:t>
      </w:r>
      <w:proofErr w:type="spellEnd"/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.). (2006). </w:t>
      </w:r>
      <w:r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>Convention on the Rights of Persons with Disabilities (CRPD), Article 24 - Education</w:t>
      </w:r>
      <w:r w:rsidRPr="00036FE9">
        <w:rPr>
          <w:rFonts w:ascii="Atkinson Hyperlegible" w:hAnsi="Atkinson Hyperlegible"/>
          <w:sz w:val="24"/>
          <w:szCs w:val="24"/>
          <w:lang w:val="en-US"/>
        </w:rPr>
        <w:t>. https://www.un.org/development/desa/disabilities/convention-on-the-rights-of-persons-with-disabilities/article-24-education.html</w:t>
      </w:r>
    </w:p>
    <w:p w:rsidR="00141076" w:rsidRPr="00036FE9" w:rsidRDefault="00141076" w:rsidP="00EB3227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  <w:lang w:val="en-US"/>
        </w:rPr>
      </w:pPr>
      <w:proofErr w:type="spellStart"/>
      <w:r w:rsidRPr="00036FE9">
        <w:rPr>
          <w:rFonts w:ascii="Atkinson Hyperlegible" w:hAnsi="Atkinson Hyperlegible"/>
          <w:sz w:val="24"/>
          <w:szCs w:val="24"/>
        </w:rPr>
        <w:t>Veenman</w:t>
      </w:r>
      <w:proofErr w:type="spellEnd"/>
      <w:r w:rsidRPr="00036FE9">
        <w:rPr>
          <w:rFonts w:ascii="Atkinson Hyperlegible" w:hAnsi="Atkinson Hyperlegible"/>
          <w:sz w:val="24"/>
          <w:szCs w:val="24"/>
        </w:rPr>
        <w:t xml:space="preserve">, S., </w:t>
      </w:r>
      <w:proofErr w:type="spellStart"/>
      <w:r w:rsidRPr="00036FE9">
        <w:rPr>
          <w:rFonts w:ascii="Atkinson Hyperlegible" w:hAnsi="Atkinson Hyperlegible"/>
          <w:sz w:val="24"/>
          <w:szCs w:val="24"/>
        </w:rPr>
        <w:t>Kenter</w:t>
      </w:r>
      <w:proofErr w:type="spellEnd"/>
      <w:r w:rsidRPr="00036FE9">
        <w:rPr>
          <w:rFonts w:ascii="Atkinson Hyperlegible" w:hAnsi="Atkinson Hyperlegible"/>
          <w:sz w:val="24"/>
          <w:szCs w:val="24"/>
        </w:rPr>
        <w:t xml:space="preserve">, B. &amp; Post, K. (2000). </w:t>
      </w:r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Cooperative Learning in Dutch Primary Classrooms. </w:t>
      </w:r>
      <w:r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>Educational Studies</w:t>
      </w:r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, </w:t>
      </w:r>
      <w:r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>3281-294</w:t>
      </w:r>
      <w:r w:rsidRPr="00036FE9">
        <w:rPr>
          <w:rFonts w:ascii="Atkinson Hyperlegible" w:hAnsi="Atkinson Hyperlegible"/>
          <w:sz w:val="24"/>
          <w:szCs w:val="24"/>
          <w:lang w:val="en-US"/>
        </w:rPr>
        <w:t>(26).</w:t>
      </w:r>
    </w:p>
    <w:p w:rsidR="00141076" w:rsidRPr="00036FE9" w:rsidRDefault="00141076" w:rsidP="00EB3227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  <w:lang w:val="en-US"/>
        </w:rPr>
      </w:pPr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Wang, M. C., </w:t>
      </w:r>
      <w:proofErr w:type="spellStart"/>
      <w:r w:rsidRPr="00036FE9">
        <w:rPr>
          <w:rFonts w:ascii="Atkinson Hyperlegible" w:hAnsi="Atkinson Hyperlegible"/>
          <w:sz w:val="24"/>
          <w:szCs w:val="24"/>
          <w:lang w:val="en-US"/>
        </w:rPr>
        <w:t>Haertel</w:t>
      </w:r>
      <w:proofErr w:type="spellEnd"/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, G. D. &amp; Walberg, H. J. (1993). Toward a knowledge base for school learning. </w:t>
      </w:r>
      <w:r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>Review of Educational Research</w:t>
      </w:r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, </w:t>
      </w:r>
      <w:r w:rsidRPr="00036FE9">
        <w:rPr>
          <w:rFonts w:ascii="Atkinson Hyperlegible" w:hAnsi="Atkinson Hyperlegible"/>
          <w:i/>
          <w:iCs/>
          <w:sz w:val="24"/>
          <w:szCs w:val="24"/>
          <w:lang w:val="en-US"/>
        </w:rPr>
        <w:t>3</w:t>
      </w:r>
      <w:r w:rsidRPr="00036FE9">
        <w:rPr>
          <w:rFonts w:ascii="Atkinson Hyperlegible" w:hAnsi="Atkinson Hyperlegible"/>
          <w:sz w:val="24"/>
          <w:szCs w:val="24"/>
          <w:lang w:val="en-US"/>
        </w:rPr>
        <w:t>(63), 249–294.</w:t>
      </w:r>
    </w:p>
    <w:p w:rsidR="00141076" w:rsidRPr="00036FE9" w:rsidRDefault="00141076" w:rsidP="00EB3227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</w:rPr>
      </w:pPr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Wild, E., </w:t>
      </w:r>
      <w:proofErr w:type="spellStart"/>
      <w:r w:rsidRPr="00036FE9">
        <w:rPr>
          <w:rFonts w:ascii="Atkinson Hyperlegible" w:hAnsi="Atkinson Hyperlegible"/>
          <w:sz w:val="24"/>
          <w:szCs w:val="24"/>
          <w:lang w:val="en-US"/>
        </w:rPr>
        <w:t>Lütje</w:t>
      </w:r>
      <w:proofErr w:type="spellEnd"/>
      <w:r w:rsidRPr="00036FE9">
        <w:rPr>
          <w:rFonts w:ascii="Atkinson Hyperlegible" w:hAnsi="Atkinson Hyperlegible"/>
          <w:sz w:val="24"/>
          <w:szCs w:val="24"/>
          <w:lang w:val="en-US"/>
        </w:rPr>
        <w:t xml:space="preserve">-Klose, B., Neumann, P. &amp; Gorges, J. (2018). </w:t>
      </w:r>
      <w:r w:rsidRPr="00036FE9">
        <w:rPr>
          <w:rFonts w:ascii="Atkinson Hyperlegible" w:hAnsi="Atkinson Hyperlegible"/>
          <w:sz w:val="24"/>
          <w:szCs w:val="24"/>
        </w:rPr>
        <w:t>Die Bielefelder Längsschnittstudie zum Lernen in inklusiven und exklusiven Förderarrangements (</w:t>
      </w:r>
      <w:proofErr w:type="spellStart"/>
      <w:r w:rsidRPr="00036FE9">
        <w:rPr>
          <w:rFonts w:ascii="Atkinson Hyperlegible" w:hAnsi="Atkinson Hyperlegible"/>
          <w:sz w:val="24"/>
          <w:szCs w:val="24"/>
        </w:rPr>
        <w:t>BiLieF</w:t>
      </w:r>
      <w:proofErr w:type="spellEnd"/>
      <w:r w:rsidRPr="00036FE9">
        <w:rPr>
          <w:rFonts w:ascii="Atkinson Hyperlegible" w:hAnsi="Atkinson Hyperlegible"/>
          <w:sz w:val="24"/>
          <w:szCs w:val="24"/>
        </w:rPr>
        <w:t xml:space="preserve">) – Zentrale Befunde.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DDS - Die </w:t>
      </w:r>
      <w:proofErr w:type="spellStart"/>
      <w:r w:rsidRPr="00036FE9">
        <w:rPr>
          <w:rFonts w:ascii="Atkinson Hyperlegible" w:hAnsi="Atkinson Hyperlegible"/>
          <w:i/>
          <w:iCs/>
          <w:sz w:val="24"/>
          <w:szCs w:val="24"/>
        </w:rPr>
        <w:t>deusche</w:t>
      </w:r>
      <w:proofErr w:type="spellEnd"/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 Schule</w:t>
      </w:r>
      <w:r w:rsidRPr="00036FE9">
        <w:rPr>
          <w:rFonts w:ascii="Atkinson Hyperlegible" w:hAnsi="Atkinson Hyperlegible"/>
          <w:sz w:val="24"/>
          <w:szCs w:val="24"/>
        </w:rPr>
        <w:t xml:space="preserve">,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>2</w:t>
      </w:r>
      <w:r w:rsidRPr="00036FE9">
        <w:rPr>
          <w:rFonts w:ascii="Atkinson Hyperlegible" w:hAnsi="Atkinson Hyperlegible"/>
          <w:sz w:val="24"/>
          <w:szCs w:val="24"/>
        </w:rPr>
        <w:t>(110), 109–123.</w:t>
      </w:r>
    </w:p>
    <w:p w:rsidR="00141076" w:rsidRDefault="00141076" w:rsidP="00EB3227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</w:rPr>
      </w:pPr>
      <w:proofErr w:type="spellStart"/>
      <w:r w:rsidRPr="00036FE9">
        <w:rPr>
          <w:rFonts w:ascii="Atkinson Hyperlegible" w:hAnsi="Atkinson Hyperlegible"/>
          <w:sz w:val="24"/>
          <w:szCs w:val="24"/>
        </w:rPr>
        <w:t>Zülsdorf-Kerting</w:t>
      </w:r>
      <w:proofErr w:type="spellEnd"/>
      <w:r w:rsidRPr="00036FE9">
        <w:rPr>
          <w:rFonts w:ascii="Atkinson Hyperlegible" w:hAnsi="Atkinson Hyperlegible"/>
          <w:sz w:val="24"/>
          <w:szCs w:val="24"/>
        </w:rPr>
        <w:t xml:space="preserve">, M. (2020). Qualitätsmerkmale von Geschichtsunterricht. Zum Verhältnis generischer und fachspezifischer Merkmale. </w:t>
      </w:r>
      <w:r w:rsidRPr="00036FE9">
        <w:rPr>
          <w:rFonts w:ascii="Atkinson Hyperlegible" w:hAnsi="Atkinson Hyperlegible"/>
          <w:i/>
          <w:iCs/>
          <w:sz w:val="24"/>
          <w:szCs w:val="24"/>
        </w:rPr>
        <w:t xml:space="preserve">Unterrichtswissenschaft </w:t>
      </w:r>
      <w:r w:rsidRPr="00036FE9">
        <w:rPr>
          <w:rFonts w:ascii="Atkinson Hyperlegible" w:hAnsi="Atkinson Hyperlegible"/>
          <w:sz w:val="24"/>
          <w:szCs w:val="24"/>
        </w:rPr>
        <w:t>(48), 385–407.</w:t>
      </w:r>
    </w:p>
    <w:p w:rsidR="00D701F6" w:rsidRDefault="00D701F6" w:rsidP="00EB3227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</w:rPr>
      </w:pPr>
    </w:p>
    <w:p w:rsidR="00D701F6" w:rsidRDefault="00D701F6" w:rsidP="00EB3227">
      <w:pPr>
        <w:pStyle w:val="CitaviLiteraturverzeichnis"/>
        <w:ind w:left="993" w:hanging="426"/>
        <w:rPr>
          <w:rFonts w:ascii="Atkinson Hyperlegible" w:hAnsi="Atkinson Hyperlegible"/>
          <w:sz w:val="24"/>
          <w:szCs w:val="24"/>
        </w:rPr>
      </w:pPr>
    </w:p>
    <w:p w:rsidR="00D701F6" w:rsidRDefault="00D701F6" w:rsidP="00D701F6">
      <w:pPr>
        <w:pStyle w:val="docdata"/>
        <w:spacing w:before="0" w:beforeAutospacing="0" w:after="120" w:afterAutospacing="0" w:line="273" w:lineRule="auto"/>
        <w:rPr>
          <w:rFonts w:ascii="Atkinson Hyperlegible" w:hAnsi="Atkinson Hyperlegible"/>
          <w:b/>
          <w:bCs/>
          <w:color w:val="000000"/>
          <w:sz w:val="28"/>
          <w:szCs w:val="28"/>
        </w:rPr>
      </w:pPr>
    </w:p>
    <w:p w:rsidR="00D701F6" w:rsidRDefault="00D701F6" w:rsidP="00D701F6">
      <w:pPr>
        <w:pStyle w:val="docdata"/>
        <w:spacing w:before="0" w:beforeAutospacing="0" w:after="120" w:afterAutospacing="0" w:line="273" w:lineRule="auto"/>
        <w:rPr>
          <w:rFonts w:ascii="Atkinson Hyperlegible" w:hAnsi="Atkinson Hyperlegible"/>
          <w:b/>
          <w:bCs/>
          <w:color w:val="000000"/>
          <w:sz w:val="28"/>
          <w:szCs w:val="28"/>
        </w:rPr>
      </w:pPr>
    </w:p>
    <w:p w:rsidR="00D701F6" w:rsidRDefault="00D701F6" w:rsidP="00D701F6">
      <w:pPr>
        <w:pStyle w:val="docdata"/>
        <w:spacing w:before="0" w:beforeAutospacing="0" w:after="120" w:afterAutospacing="0" w:line="273" w:lineRule="auto"/>
        <w:rPr>
          <w:rFonts w:ascii="Atkinson Hyperlegible" w:hAnsi="Atkinson Hyperlegible"/>
          <w:b/>
          <w:bCs/>
          <w:color w:val="000000"/>
          <w:sz w:val="28"/>
          <w:szCs w:val="28"/>
        </w:rPr>
      </w:pPr>
    </w:p>
    <w:p w:rsidR="00D701F6" w:rsidRDefault="00D701F6" w:rsidP="00D701F6">
      <w:pPr>
        <w:pStyle w:val="docdata"/>
        <w:spacing w:before="0" w:beforeAutospacing="0" w:after="120" w:afterAutospacing="0" w:line="273" w:lineRule="auto"/>
      </w:pPr>
      <w:r>
        <w:rPr>
          <w:rFonts w:ascii="Atkinson Hyperlegible" w:hAnsi="Atkinson Hyperlegible"/>
          <w:b/>
          <w:bCs/>
          <w:color w:val="000000"/>
          <w:sz w:val="28"/>
          <w:szCs w:val="28"/>
        </w:rPr>
        <w:t>Lizenzhinweise</w:t>
      </w:r>
    </w:p>
    <w:p w:rsidR="00D701F6" w:rsidRDefault="00D701F6" w:rsidP="00D701F6">
      <w:pPr>
        <w:pStyle w:val="CitaviLiteraturverzeichnis"/>
        <w:tabs>
          <w:tab w:val="left" w:pos="1560"/>
        </w:tabs>
        <w:ind w:left="0" w:hanging="11"/>
        <w:rPr>
          <w:rFonts w:ascii="Atkinson Hyperlegible" w:hAnsi="Atkinson Hyperlegible"/>
          <w:color w:val="000000"/>
          <w:sz w:val="24"/>
          <w:szCs w:val="24"/>
        </w:rPr>
      </w:pPr>
      <w:r w:rsidRPr="00D701F6">
        <w:rPr>
          <w:rFonts w:ascii="Atkinson Hyperlegible" w:hAnsi="Atkinson Hyperlegible"/>
          <w:color w:val="000000"/>
          <w:sz w:val="24"/>
          <w:szCs w:val="24"/>
        </w:rPr>
        <w:t xml:space="preserve">Dieser Text wurde unter einer Creative Commons Lizenz veröffentlicht und </w:t>
      </w:r>
      <w:r w:rsidR="005B3B1F">
        <w:rPr>
          <w:rFonts w:ascii="Atkinson Hyperlegible" w:hAnsi="Atkinson Hyperlegible"/>
          <w:color w:val="000000"/>
          <w:sz w:val="24"/>
          <w:szCs w:val="24"/>
        </w:rPr>
        <w:t>ist</w:t>
      </w:r>
      <w:r w:rsidRPr="00D701F6">
        <w:rPr>
          <w:rFonts w:ascii="Atkinson Hyperlegible" w:hAnsi="Atkinson Hyperlegible"/>
          <w:color w:val="000000"/>
          <w:sz w:val="24"/>
          <w:szCs w:val="24"/>
        </w:rPr>
        <w:t xml:space="preserve"> zur Weiternutzung freigegeben.</w:t>
      </w:r>
    </w:p>
    <w:p w:rsidR="00D701F6" w:rsidRPr="00D701F6" w:rsidRDefault="00D701F6" w:rsidP="00D701F6">
      <w:pPr>
        <w:pStyle w:val="CitaviLiteraturverzeichnis"/>
        <w:tabs>
          <w:tab w:val="left" w:pos="1560"/>
        </w:tabs>
        <w:ind w:left="0" w:hanging="11"/>
        <w:rPr>
          <w:rFonts w:ascii="Atkinson Hyperlegible" w:hAnsi="Atkinson Hyperlegible"/>
          <w:sz w:val="24"/>
          <w:szCs w:val="24"/>
        </w:rPr>
      </w:pPr>
    </w:p>
    <w:p w:rsidR="00D701F6" w:rsidRPr="00D701F6" w:rsidRDefault="00D701F6" w:rsidP="00D701F6">
      <w:pPr>
        <w:pStyle w:val="docdata"/>
        <w:tabs>
          <w:tab w:val="left" w:pos="1560"/>
        </w:tabs>
        <w:spacing w:before="0" w:beforeAutospacing="0" w:after="0" w:afterAutospacing="0" w:line="276" w:lineRule="auto"/>
        <w:ind w:left="1560" w:hanging="1560"/>
        <w:rPr>
          <w:rFonts w:ascii="Atkinson Hyperlegible" w:hAnsi="Atkinson Hyperlegible"/>
          <w:color w:val="000000"/>
        </w:rPr>
      </w:pPr>
      <w:r w:rsidRPr="00D701F6">
        <w:rPr>
          <w:rFonts w:ascii="Atkinson Hyperlegible" w:hAnsi="Atkinson Hyperlegible"/>
          <w:color w:val="000000"/>
        </w:rPr>
        <w:t>Titel:</w:t>
      </w:r>
      <w:r w:rsidRPr="00D701F6">
        <w:rPr>
          <w:rFonts w:ascii="Atkinson Hyperlegible" w:hAnsi="Atkinson Hyperlegible"/>
          <w:color w:val="000000"/>
        </w:rPr>
        <w:tab/>
      </w:r>
      <w:r w:rsidR="0022745D">
        <w:rPr>
          <w:rFonts w:ascii="Atkinson Hyperlegible" w:hAnsi="Atkinson Hyperlegible"/>
          <w:color w:val="000000"/>
        </w:rPr>
        <w:t>Literaturliste zum Paket „Guter Unterricht“</w:t>
      </w:r>
      <w:bookmarkStart w:id="3" w:name="_GoBack"/>
      <w:bookmarkEnd w:id="3"/>
      <w:r w:rsidRPr="00D701F6">
        <w:rPr>
          <w:rFonts w:ascii="Atkinson Hyperlegible" w:hAnsi="Atkinson Hyperlegible"/>
          <w:color w:val="000000"/>
        </w:rPr>
        <w:t xml:space="preserve">. </w:t>
      </w:r>
      <w:r>
        <w:rPr>
          <w:rFonts w:ascii="Atkinson Hyperlegible" w:hAnsi="Atkinson Hyperlegible"/>
          <w:color w:val="000000"/>
        </w:rPr>
        <w:br/>
      </w:r>
      <w:r w:rsidRPr="00D701F6">
        <w:rPr>
          <w:rFonts w:ascii="Atkinson Hyperlegible" w:hAnsi="Atkinson Hyperlegible"/>
          <w:color w:val="000000"/>
        </w:rPr>
        <w:t xml:space="preserve">Ein Text aus dem Paket „Guter Unterricht“. </w:t>
      </w:r>
    </w:p>
    <w:p w:rsidR="00D701F6" w:rsidRPr="00D701F6" w:rsidRDefault="00D701F6" w:rsidP="00D701F6">
      <w:pPr>
        <w:pStyle w:val="StandardWeb"/>
        <w:tabs>
          <w:tab w:val="left" w:pos="1560"/>
        </w:tabs>
        <w:spacing w:before="0" w:beforeAutospacing="0" w:after="0" w:afterAutospacing="0" w:line="276" w:lineRule="auto"/>
        <w:ind w:left="1560" w:hanging="1560"/>
        <w:rPr>
          <w:rFonts w:ascii="Atkinson Hyperlegible" w:hAnsi="Atkinson Hyperlegible"/>
        </w:rPr>
      </w:pPr>
      <w:r w:rsidRPr="00D701F6">
        <w:rPr>
          <w:rFonts w:ascii="Atkinson Hyperlegible" w:hAnsi="Atkinson Hyperlegible"/>
          <w:color w:val="000000"/>
        </w:rPr>
        <w:t>Autor*innen:</w:t>
      </w:r>
      <w:r w:rsidRPr="00D701F6">
        <w:rPr>
          <w:rFonts w:ascii="Atkinson Hyperlegible" w:hAnsi="Atkinson Hyperlegible"/>
          <w:color w:val="000000"/>
        </w:rPr>
        <w:tab/>
        <w:t>Team OER Lehrkräftebildung</w:t>
      </w:r>
    </w:p>
    <w:p w:rsidR="00D701F6" w:rsidRDefault="00D701F6" w:rsidP="00D701F6">
      <w:pPr>
        <w:pStyle w:val="StandardWeb"/>
        <w:tabs>
          <w:tab w:val="left" w:pos="1560"/>
        </w:tabs>
        <w:spacing w:before="0" w:beforeAutospacing="0" w:after="0" w:afterAutospacing="0" w:line="276" w:lineRule="auto"/>
        <w:ind w:left="1560" w:hanging="1560"/>
        <w:rPr>
          <w:rFonts w:ascii="Atkinson Hyperlegible" w:hAnsi="Atkinson Hyperlegible"/>
        </w:rPr>
      </w:pPr>
      <w:r w:rsidRPr="00D701F6">
        <w:rPr>
          <w:rFonts w:ascii="Atkinson Hyperlegible" w:hAnsi="Atkinson Hyperlegible"/>
          <w:color w:val="000000"/>
        </w:rPr>
        <w:t xml:space="preserve">Kontakt: </w:t>
      </w:r>
      <w:r w:rsidRPr="00D701F6">
        <w:rPr>
          <w:rFonts w:ascii="Atkinson Hyperlegible" w:hAnsi="Atkinson Hyperlegible"/>
          <w:color w:val="000000"/>
        </w:rPr>
        <w:tab/>
      </w:r>
      <w:hyperlink r:id="rId11" w:tooltip="mailto:oer-lkb@uni-oldenburg.de" w:history="1">
        <w:r w:rsidRPr="00D701F6">
          <w:rPr>
            <w:rStyle w:val="Hyperlink"/>
            <w:rFonts w:ascii="Atkinson Hyperlegible" w:eastAsia="Arial" w:hAnsi="Atkinson Hyperlegible"/>
          </w:rPr>
          <w:t>oer-lkb@uni-oldenburg.de</w:t>
        </w:r>
      </w:hyperlink>
    </w:p>
    <w:p w:rsidR="00D701F6" w:rsidRPr="00D701F6" w:rsidRDefault="00D701F6" w:rsidP="00D701F6">
      <w:pPr>
        <w:pStyle w:val="StandardWeb"/>
        <w:tabs>
          <w:tab w:val="left" w:pos="1560"/>
        </w:tabs>
        <w:spacing w:before="0" w:beforeAutospacing="0" w:after="0" w:afterAutospacing="0" w:line="276" w:lineRule="auto"/>
        <w:ind w:left="1560" w:hanging="1560"/>
        <w:rPr>
          <w:rFonts w:ascii="Atkinson Hyperlegible" w:hAnsi="Atkinson Hyperlegible"/>
        </w:rPr>
      </w:pPr>
      <w:r w:rsidRPr="00D701F6">
        <w:rPr>
          <w:rFonts w:ascii="Atkinson Hyperlegible" w:hAnsi="Atkinson Hyperlegible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F087800">
            <wp:simplePos x="0" y="0"/>
            <wp:positionH relativeFrom="margin">
              <wp:align>left</wp:align>
            </wp:positionH>
            <wp:positionV relativeFrom="paragraph">
              <wp:posOffset>415925</wp:posOffset>
            </wp:positionV>
            <wp:extent cx="676275" cy="266700"/>
            <wp:effectExtent l="0" t="0" r="9525" b="0"/>
            <wp:wrapNone/>
            <wp:docPr id="9" name="Grafik 9" descr="C:\Users\noma5047\AppData\Local\Microsoft\Windows\INetCache\Content.MSO\4F668A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ma5047\AppData\Local\Microsoft\Windows\INetCache\Content.MSO\4F668AC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tkinson Hyperlegible" w:hAnsi="Atkinson Hyperlegible"/>
        </w:rPr>
        <w:t>Lizenz:</w:t>
      </w:r>
      <w:r>
        <w:rPr>
          <w:rFonts w:ascii="Atkinson Hyperlegible" w:hAnsi="Atkinson Hyperlegible"/>
        </w:rPr>
        <w:tab/>
      </w:r>
      <w:r w:rsidRPr="00D701F6">
        <w:rPr>
          <w:rFonts w:ascii="Atkinson Hyperlegible" w:hAnsi="Atkinson Hyperlegible"/>
        </w:rPr>
        <w:t xml:space="preserve">Dieser Text ist, sofern nicht an einzelnen Inhalten anders angegeben, lizenziert unter der Creative Commons Lizenz CC BY 4.0. </w:t>
      </w:r>
      <w:r>
        <w:rPr>
          <w:rFonts w:ascii="Atkinson Hyperlegible" w:hAnsi="Atkinson Hyperlegible"/>
        </w:rPr>
        <w:br/>
      </w:r>
      <w:r w:rsidRPr="00D701F6">
        <w:rPr>
          <w:rFonts w:ascii="Atkinson Hyperlegible" w:hAnsi="Atkinson Hyperlegible"/>
        </w:rPr>
        <w:t>Um die Lizenzbedingungen einzusehen, besuchen Sie bitte https://creativecommons.org/licenses/by/4.0/deed.de</w:t>
      </w:r>
    </w:p>
    <w:p w:rsidR="00D701F6" w:rsidRPr="00D701F6" w:rsidRDefault="00D701F6" w:rsidP="00D701F6">
      <w:pPr>
        <w:pStyle w:val="docdata"/>
        <w:tabs>
          <w:tab w:val="left" w:pos="1560"/>
        </w:tabs>
        <w:spacing w:before="0" w:beforeAutospacing="0" w:after="0" w:afterAutospacing="0"/>
        <w:ind w:left="1560" w:hanging="1560"/>
        <w:rPr>
          <w:rFonts w:ascii="Atkinson Hyperlegible" w:hAnsi="Atkinson Hyperlegible"/>
          <w:color w:val="000000"/>
        </w:rPr>
      </w:pPr>
      <w:r w:rsidRPr="00D701F6">
        <w:rPr>
          <w:rFonts w:ascii="Atkinson Hyperlegible" w:hAnsi="Atkinson Hyperlegible"/>
          <w:color w:val="000000"/>
        </w:rPr>
        <w:t>Stand:</w:t>
      </w:r>
      <w:r w:rsidRPr="00D701F6">
        <w:rPr>
          <w:rFonts w:ascii="Atkinson Hyperlegible" w:hAnsi="Atkinson Hyperlegible"/>
          <w:color w:val="000000"/>
        </w:rPr>
        <w:tab/>
        <w:t>Januar 2022</w:t>
      </w:r>
    </w:p>
    <w:sectPr w:rsidR="00D701F6" w:rsidRPr="00D701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134" w:bottom="720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C0C" w:rsidRDefault="00EF5C0C">
      <w:r>
        <w:separator/>
      </w:r>
    </w:p>
  </w:endnote>
  <w:endnote w:type="continuationSeparator" w:id="0">
    <w:p w:rsidR="00EF5C0C" w:rsidRDefault="00EF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7A" w:rsidRDefault="00C366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7A" w:rsidRDefault="00B31CC4">
    <w:pPr>
      <w:pStyle w:val="Fuzeile"/>
      <w:tabs>
        <w:tab w:val="clear" w:pos="4536"/>
        <w:tab w:val="clear" w:pos="9072"/>
        <w:tab w:val="left" w:pos="7088"/>
      </w:tabs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12</w:t>
    </w:r>
    <w:r>
      <w:rPr>
        <w:sz w:val="18"/>
        <w:szCs w:val="18"/>
      </w:rPr>
      <w:fldChar w:fldCharType="end"/>
    </w:r>
  </w:p>
  <w:p w:rsidR="00C3667A" w:rsidRDefault="00B31CC4">
    <w:pPr>
      <w:pStyle w:val="Fuzeile"/>
      <w:tabs>
        <w:tab w:val="clear" w:pos="4536"/>
        <w:tab w:val="clear" w:pos="9072"/>
        <w:tab w:val="left" w:pos="7088"/>
      </w:tabs>
      <w:jc w:val="center"/>
      <w:rPr>
        <w:sz w:val="18"/>
        <w:szCs w:val="18"/>
      </w:rPr>
    </w:pPr>
    <w:r>
      <w:rPr>
        <w:sz w:val="18"/>
        <w:szCs w:val="18"/>
      </w:rPr>
      <w:t>Prof. Dr. C. Hillenbrand, Prof. Dr. F. Rau, Prof.in Dr. M.-C. Vierbuchen, L. Mudder, S. Schorer, L. Schröder</w:t>
    </w:r>
  </w:p>
  <w:p w:rsidR="00C3667A" w:rsidRDefault="00B31CC4">
    <w:pPr>
      <w:pStyle w:val="Fuzeile"/>
      <w:tabs>
        <w:tab w:val="clear" w:pos="4536"/>
        <w:tab w:val="clear" w:pos="9072"/>
        <w:tab w:val="left" w:pos="5387"/>
      </w:tabs>
      <w:rPr>
        <w:sz w:val="8"/>
        <w:szCs w:val="8"/>
      </w:rPr>
    </w:pPr>
    <w:r>
      <w:rPr>
        <w:noProof/>
        <w:sz w:val="8"/>
        <w:szCs w:val="8"/>
        <w:lang w:eastAsia="de-DE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89535</wp:posOffset>
              </wp:positionV>
              <wp:extent cx="923925" cy="596265"/>
              <wp:effectExtent l="0" t="0" r="9525" b="0"/>
              <wp:wrapTight wrapText="bothSides">
                <wp:wrapPolygon edited="1">
                  <wp:start x="0" y="0"/>
                  <wp:lineTo x="0" y="21201"/>
                  <wp:lineTo x="21073" y="21201"/>
                  <wp:lineTo x="21073" y="0"/>
                  <wp:lineTo x="0" y="0"/>
                </wp:wrapPolygon>
              </wp:wrapTight>
              <wp:docPr id="5" name="Grafi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Uni-Logo Blau (jpg-Format)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23925" cy="596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73600;o:allowoverlap:true;o:allowincell:true;mso-position-horizontal-relative:text;margin-left:0.3pt;mso-position-horizontal:absolute;mso-position-vertical-relative:text;margin-top:7.0pt;mso-position-vertical:absolute;width:72.8pt;height:46.9pt;" wrapcoords="0 0 0 98153 97560 98153 97560 0 0 0" stroked="false">
              <v:path textboxrect="0,0,0,0"/>
              <v:imagedata r:id="rId2" o:title=""/>
            </v:shape>
          </w:pict>
        </mc:Fallback>
      </mc:AlternateContent>
    </w:r>
  </w:p>
  <w:p w:rsidR="00C3667A" w:rsidRDefault="00B31CC4">
    <w:pPr>
      <w:pStyle w:val="Fuzeile"/>
      <w:tabs>
        <w:tab w:val="clear" w:pos="9072"/>
        <w:tab w:val="left" w:pos="4536"/>
        <w:tab w:val="right" w:pos="9639"/>
      </w:tabs>
      <w:ind w:right="-1"/>
      <w:rPr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4907915</wp:posOffset>
              </wp:positionH>
              <wp:positionV relativeFrom="paragraph">
                <wp:posOffset>221615</wp:posOffset>
              </wp:positionV>
              <wp:extent cx="1256030" cy="287655"/>
              <wp:effectExtent l="0" t="0" r="1270" b="0"/>
              <wp:wrapThrough wrapText="bothSides">
                <wp:wrapPolygon edited="1">
                  <wp:start x="0" y="0"/>
                  <wp:lineTo x="0" y="20026"/>
                  <wp:lineTo x="21294" y="20026"/>
                  <wp:lineTo x="21294" y="0"/>
                  <wp:lineTo x="0" y="0"/>
                </wp:wrapPolygon>
              </wp:wrapThrough>
              <wp:docPr id="6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5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25603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251674624;o:allowoverlap:true;o:allowincell:true;mso-position-horizontal-relative:text;margin-left:386.4pt;mso-position-horizontal:absolute;mso-position-vertical-relative:text;margin-top:17.4pt;mso-position-vertical:absolute;width:98.9pt;height:22.6pt;" wrapcoords="0 0 0 92713 98583 92713 98583 0 0 0" stroked="false">
              <v:path textboxrect="0,0,0,0"/>
              <v:imagedata r:id="rId4" o:title=""/>
            </v:shape>
          </w:pict>
        </mc:Fallback>
      </mc:AlternateContent>
    </w:r>
    <w:r>
      <w:rPr>
        <w:noProof/>
        <w:sz w:val="8"/>
        <w:szCs w:val="8"/>
        <w:lang w:eastAsia="de-DE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1412875</wp:posOffset>
              </wp:positionH>
              <wp:positionV relativeFrom="paragraph">
                <wp:posOffset>90170</wp:posOffset>
              </wp:positionV>
              <wp:extent cx="1092200" cy="484505"/>
              <wp:effectExtent l="0" t="0" r="0" b="0"/>
              <wp:wrapTight wrapText="bothSides">
                <wp:wrapPolygon edited="1">
                  <wp:start x="0" y="0"/>
                  <wp:lineTo x="0" y="20750"/>
                  <wp:lineTo x="21302" y="20750"/>
                  <wp:lineTo x="21302" y="0"/>
                  <wp:lineTo x="0" y="0"/>
                </wp:wrapPolygon>
              </wp:wrapTight>
              <wp:docPr id="7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Uni_Vec_lg_CMYK_4c.jp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92200" cy="484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6" o:spid="_x0000_s6" type="#_x0000_t75" style="position:absolute;mso-wrap-distance-left:9.0pt;mso-wrap-distance-top:0.0pt;mso-wrap-distance-right:9.0pt;mso-wrap-distance-bottom:0.0pt;z-index:-251672576;o:allowoverlap:true;o:allowincell:true;mso-position-horizontal-relative:text;margin-left:111.2pt;mso-position-horizontal:absolute;mso-position-vertical-relative:text;margin-top:7.1pt;mso-position-vertical:absolute;width:86.0pt;height:38.1pt;" wrapcoords="0 0 0 96065 98620 96065 98620 0 0 0" stroked="false">
              <v:path textboxrect="0,0,0,0"/>
              <v:imagedata r:id="rId6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2883217</wp:posOffset>
              </wp:positionH>
              <wp:positionV relativeFrom="page">
                <wp:posOffset>10020300</wp:posOffset>
              </wp:positionV>
              <wp:extent cx="1563370" cy="280670"/>
              <wp:effectExtent l="0" t="0" r="0" b="5080"/>
              <wp:wrapNone/>
              <wp:docPr id="8" name="Grafik 16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6" descr="Ein Bild, das Text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/>
                    </pic:blipFill>
                    <pic:spPr bwMode="auto">
                      <a:xfrm>
                        <a:off x="0" y="0"/>
                        <a:ext cx="1563370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o:spid="_x0000_s7" type="#_x0000_t75" style="position:absolute;mso-wrap-distance-left:9.0pt;mso-wrap-distance-top:0.0pt;mso-wrap-distance-right:9.0pt;mso-wrap-distance-bottom:0.0pt;z-index:-251660288;o:allowoverlap:true;o:allowincell:true;mso-position-horizontal-relative:text;margin-left:227.0pt;mso-position-horizontal:absolute;mso-position-vertical-relative:page;margin-top:789.0pt;mso-position-vertical:absolute;width:123.1pt;height:22.1pt;" stroked="false">
              <v:path textboxrect="0,0,0,0"/>
              <v:imagedata r:id="rId8" o:title=""/>
            </v:shape>
          </w:pict>
        </mc:Fallback>
      </mc:AlternateContent>
    </w:r>
    <w:r>
      <w:rPr>
        <w:sz w:val="18"/>
        <w:szCs w:val="18"/>
      </w:rPr>
      <w:tab/>
      <w:t>Gefördert durch:</w:t>
    </w:r>
    <w:r>
      <w:rPr>
        <w:sz w:val="18"/>
        <w:szCs w:val="18"/>
      </w:rPr>
      <w:tab/>
      <w:t xml:space="preserve">In Zusammenarbeit mit: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7A" w:rsidRDefault="00C366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C0C" w:rsidRDefault="00EF5C0C">
      <w:r>
        <w:separator/>
      </w:r>
    </w:p>
  </w:footnote>
  <w:footnote w:type="continuationSeparator" w:id="0">
    <w:p w:rsidR="00EF5C0C" w:rsidRDefault="00EF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7A" w:rsidRDefault="00C366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7A" w:rsidRDefault="00B31CC4">
    <w:pPr>
      <w:tabs>
        <w:tab w:val="left" w:pos="3720"/>
      </w:tabs>
      <w:ind w:left="-567" w:right="-426"/>
      <w:rPr>
        <w:rFonts w:ascii="Atkinson Hyperlegible" w:hAnsi="Atkinson Hyperlegible"/>
        <w:b/>
        <w:bCs/>
        <w:color w:val="003E6C"/>
        <w:sz w:val="40"/>
        <w:szCs w:val="40"/>
      </w:rPr>
    </w:pPr>
    <w:r>
      <w:rPr>
        <w:rFonts w:ascii="Atkinson Hyperlegible" w:hAnsi="Atkinson Hyperlegible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161925</wp:posOffset>
              </wp:positionH>
              <wp:positionV relativeFrom="page">
                <wp:posOffset>0</wp:posOffset>
              </wp:positionV>
              <wp:extent cx="3838575" cy="3800475"/>
              <wp:effectExtent l="0" t="0" r="9525" b="9525"/>
              <wp:wrapNone/>
              <wp:docPr id="1" name="Rechtwinkliges Drei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838575" cy="3800475"/>
                      </a:xfrm>
                      <a:custGeom>
                        <a:avLst/>
                        <a:gdLst>
                          <a:gd name="connsiteX0" fmla="*/ 0 w 3381375"/>
                          <a:gd name="connsiteY0" fmla="*/ 3371850 h 3371850"/>
                          <a:gd name="connsiteX1" fmla="*/ 0 w 3381375"/>
                          <a:gd name="connsiteY1" fmla="*/ 0 h 3371850"/>
                          <a:gd name="connsiteX2" fmla="*/ 3381375 w 3381375"/>
                          <a:gd name="connsiteY2" fmla="*/ 3371850 h 3371850"/>
                          <a:gd name="connsiteX3" fmla="*/ 0 w 3381375"/>
                          <a:gd name="connsiteY3" fmla="*/ 3371850 h 3371850"/>
                          <a:gd name="connsiteX0" fmla="*/ 0 w 3381375"/>
                          <a:gd name="connsiteY0" fmla="*/ 3343275 h 3343275"/>
                          <a:gd name="connsiteX1" fmla="*/ 3362325 w 3381375"/>
                          <a:gd name="connsiteY1" fmla="*/ 0 h 3343275"/>
                          <a:gd name="connsiteX2" fmla="*/ 3381375 w 3381375"/>
                          <a:gd name="connsiteY2" fmla="*/ 3343275 h 3343275"/>
                          <a:gd name="connsiteX3" fmla="*/ 0 w 3381375"/>
                          <a:gd name="connsiteY3" fmla="*/ 3343275 h 3343275"/>
                          <a:gd name="connsiteX0" fmla="*/ 0 w 3400425"/>
                          <a:gd name="connsiteY0" fmla="*/ 0 h 3381375"/>
                          <a:gd name="connsiteX1" fmla="*/ 3381375 w 3400425"/>
                          <a:gd name="connsiteY1" fmla="*/ 38100 h 3381375"/>
                          <a:gd name="connsiteX2" fmla="*/ 3400425 w 3400425"/>
                          <a:gd name="connsiteY2" fmla="*/ 3381375 h 3381375"/>
                          <a:gd name="connsiteX3" fmla="*/ 0 w 3400425"/>
                          <a:gd name="connsiteY3" fmla="*/ 0 h 3381375"/>
                          <a:gd name="connsiteX0" fmla="*/ 19050 w 3400425"/>
                          <a:gd name="connsiteY0" fmla="*/ 0 h 3486150"/>
                          <a:gd name="connsiteX1" fmla="*/ 3400425 w 3400425"/>
                          <a:gd name="connsiteY1" fmla="*/ 38100 h 3486150"/>
                          <a:gd name="connsiteX2" fmla="*/ 0 w 3400425"/>
                          <a:gd name="connsiteY2" fmla="*/ 3486150 h 3486150"/>
                          <a:gd name="connsiteX3" fmla="*/ 19050 w 3400425"/>
                          <a:gd name="connsiteY3" fmla="*/ 0 h 3486150"/>
                          <a:gd name="connsiteX0" fmla="*/ 19050 w 3409950"/>
                          <a:gd name="connsiteY0" fmla="*/ 0 h 3486150"/>
                          <a:gd name="connsiteX1" fmla="*/ 3409950 w 3409950"/>
                          <a:gd name="connsiteY1" fmla="*/ 0 h 3486150"/>
                          <a:gd name="connsiteX2" fmla="*/ 0 w 3409950"/>
                          <a:gd name="connsiteY2" fmla="*/ 3486150 h 3486150"/>
                          <a:gd name="connsiteX3" fmla="*/ 19050 w 3409950"/>
                          <a:gd name="connsiteY3" fmla="*/ 0 h 34861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09950" h="3486150" extrusionOk="0">
                            <a:moveTo>
                              <a:pt x="19050" y="0"/>
                            </a:moveTo>
                            <a:lnTo>
                              <a:pt x="3409950" y="0"/>
                            </a:lnTo>
                            <a:lnTo>
                              <a:pt x="0" y="3486150"/>
                            </a:lnTo>
                            <a:lnTo>
                              <a:pt x="19050" y="0"/>
                            </a:lnTo>
                            <a:close/>
                          </a:path>
                        </a:pathLst>
                      </a:cu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style="position:absolute;mso-wrap-distance-left:9.0pt;mso-wrap-distance-top:0.0pt;mso-wrap-distance-right:9.0pt;mso-wrap-distance-bottom:0.0pt;z-index:-251665408;o:allowoverlap:true;o:allowincell:true;mso-position-horizontal-relative:page;margin-left:12.8pt;mso-position-horizontal:absolute;mso-position-vertical-relative:page;margin-top:0.0pt;mso-position-vertical:absolute;width:302.2pt;height:299.2pt;" coordsize="100000,100000" path="m558,0l100000,0l0,99999l558,0xe" fillcolor="#E7E6E6" stroked="f" strokeweight="2.00pt">
              <v:path textboxrect="0,0,100000,99999"/>
            </v:shape>
          </w:pict>
        </mc:Fallback>
      </mc:AlternateContent>
    </w:r>
    <w:r>
      <w:rPr>
        <w:rFonts w:ascii="Atkinson Hyperlegible" w:hAnsi="Atkinson Hyperlegible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-742950</wp:posOffset>
              </wp:positionH>
              <wp:positionV relativeFrom="page">
                <wp:posOffset>9525</wp:posOffset>
              </wp:positionV>
              <wp:extent cx="3505200" cy="3467100"/>
              <wp:effectExtent l="0" t="0" r="0" b="0"/>
              <wp:wrapNone/>
              <wp:docPr id="2" name="Rechtwinkliges Drei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505199" cy="3467100"/>
                      </a:xfrm>
                      <a:custGeom>
                        <a:avLst/>
                        <a:gdLst>
                          <a:gd name="connsiteX0" fmla="*/ 0 w 3381375"/>
                          <a:gd name="connsiteY0" fmla="*/ 3371850 h 3371850"/>
                          <a:gd name="connsiteX1" fmla="*/ 0 w 3381375"/>
                          <a:gd name="connsiteY1" fmla="*/ 0 h 3371850"/>
                          <a:gd name="connsiteX2" fmla="*/ 3381375 w 3381375"/>
                          <a:gd name="connsiteY2" fmla="*/ 3371850 h 3371850"/>
                          <a:gd name="connsiteX3" fmla="*/ 0 w 3381375"/>
                          <a:gd name="connsiteY3" fmla="*/ 3371850 h 3371850"/>
                          <a:gd name="connsiteX0" fmla="*/ 0 w 3381375"/>
                          <a:gd name="connsiteY0" fmla="*/ 3343275 h 3343275"/>
                          <a:gd name="connsiteX1" fmla="*/ 3362325 w 3381375"/>
                          <a:gd name="connsiteY1" fmla="*/ 0 h 3343275"/>
                          <a:gd name="connsiteX2" fmla="*/ 3381375 w 3381375"/>
                          <a:gd name="connsiteY2" fmla="*/ 3343275 h 3343275"/>
                          <a:gd name="connsiteX3" fmla="*/ 0 w 3381375"/>
                          <a:gd name="connsiteY3" fmla="*/ 3343275 h 3343275"/>
                          <a:gd name="connsiteX0" fmla="*/ 0 w 3400425"/>
                          <a:gd name="connsiteY0" fmla="*/ 0 h 3381375"/>
                          <a:gd name="connsiteX1" fmla="*/ 3381375 w 3400425"/>
                          <a:gd name="connsiteY1" fmla="*/ 38100 h 3381375"/>
                          <a:gd name="connsiteX2" fmla="*/ 3400425 w 3400425"/>
                          <a:gd name="connsiteY2" fmla="*/ 3381375 h 3381375"/>
                          <a:gd name="connsiteX3" fmla="*/ 0 w 3400425"/>
                          <a:gd name="connsiteY3" fmla="*/ 0 h 3381375"/>
                          <a:gd name="connsiteX0" fmla="*/ 19050 w 3400425"/>
                          <a:gd name="connsiteY0" fmla="*/ 0 h 3486150"/>
                          <a:gd name="connsiteX1" fmla="*/ 3400425 w 3400425"/>
                          <a:gd name="connsiteY1" fmla="*/ 38100 h 3486150"/>
                          <a:gd name="connsiteX2" fmla="*/ 0 w 3400425"/>
                          <a:gd name="connsiteY2" fmla="*/ 3486150 h 3486150"/>
                          <a:gd name="connsiteX3" fmla="*/ 19050 w 3400425"/>
                          <a:gd name="connsiteY3" fmla="*/ 0 h 3486150"/>
                          <a:gd name="connsiteX0" fmla="*/ 19050 w 3409950"/>
                          <a:gd name="connsiteY0" fmla="*/ 0 h 3486150"/>
                          <a:gd name="connsiteX1" fmla="*/ 3409950 w 3409950"/>
                          <a:gd name="connsiteY1" fmla="*/ 0 h 3486150"/>
                          <a:gd name="connsiteX2" fmla="*/ 0 w 3409950"/>
                          <a:gd name="connsiteY2" fmla="*/ 3486150 h 3486150"/>
                          <a:gd name="connsiteX3" fmla="*/ 19050 w 3409950"/>
                          <a:gd name="connsiteY3" fmla="*/ 0 h 34861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09950" h="3486150" extrusionOk="0">
                            <a:moveTo>
                              <a:pt x="19050" y="0"/>
                            </a:moveTo>
                            <a:lnTo>
                              <a:pt x="3409950" y="0"/>
                            </a:lnTo>
                            <a:lnTo>
                              <a:pt x="0" y="3486150"/>
                            </a:lnTo>
                            <a:lnTo>
                              <a:pt x="19050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style="position:absolute;mso-wrap-distance-left:9.0pt;mso-wrap-distance-top:0.0pt;mso-wrap-distance-right:9.0pt;mso-wrap-distance-bottom:0.0pt;z-index:-251666432;o:allowoverlap:true;o:allowincell:true;mso-position-horizontal-relative:text;margin-left:-58.5pt;mso-position-horizontal:absolute;mso-position-vertical-relative:page;margin-top:0.8pt;mso-position-vertical:absolute;width:276.0pt;height:273.0pt;" coordsize="100000,100000" path="m558,0l100000,0l0,99999l558,0xe" fillcolor="#D9D9D9" stroked="f" strokeweight="2.00pt">
              <v:path textboxrect="0,0,100000,99998"/>
            </v:shape>
          </w:pict>
        </mc:Fallback>
      </mc:AlternateContent>
    </w:r>
    <w:r>
      <w:rPr>
        <w:rFonts w:ascii="Atkinson Hyperlegible" w:hAnsi="Atkinson Hyperlegible"/>
        <w:b/>
        <w:bCs/>
        <w:sz w:val="40"/>
        <w:szCs w:val="40"/>
      </w:rPr>
      <w:t>OER für die Lehrkräftebildung</w:t>
    </w:r>
    <w:r>
      <w:rPr>
        <w:rFonts w:ascii="Atkinson Hyperlegible" w:hAnsi="Atkinson Hyperlegible"/>
        <w:sz w:val="40"/>
        <w:szCs w:val="40"/>
      </w:rPr>
      <w:br/>
    </w:r>
    <w:r>
      <w:rPr>
        <w:rFonts w:ascii="Atkinson Hyperlegible" w:hAnsi="Atkinson Hyperlegible"/>
        <w:sz w:val="32"/>
        <w:szCs w:val="32"/>
      </w:rPr>
      <w:t>Handlungsstrategien für heterogene Klassen</w:t>
    </w:r>
    <w:r>
      <w:rPr>
        <w:rFonts w:ascii="Atkinson Hyperlegible" w:hAnsi="Atkinson Hyperlegible"/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5238750</wp:posOffset>
              </wp:positionH>
              <wp:positionV relativeFrom="page">
                <wp:posOffset>235585</wp:posOffset>
              </wp:positionV>
              <wp:extent cx="1439545" cy="1000760"/>
              <wp:effectExtent l="0" t="0" r="8255" b="8890"/>
              <wp:wrapNone/>
              <wp:docPr id="3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39545" cy="1000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8480;o:allowoverlap:true;o:allowincell:true;mso-position-horizontal-relative:text;margin-left:412.5pt;mso-position-horizontal:absolute;mso-position-vertical-relative:page;margin-top:18.6pt;mso-position-vertical:absolute;width:113.3pt;height:78.8pt;" stroked="false">
              <v:path textboxrect="0,0,0,0"/>
              <v:imagedata r:id="rId2" o:title=""/>
            </v:shape>
          </w:pict>
        </mc:Fallback>
      </mc:AlternateContent>
    </w:r>
  </w:p>
  <w:p w:rsidR="00C3667A" w:rsidRDefault="00B31CC4">
    <w:pPr>
      <w:tabs>
        <w:tab w:val="left" w:pos="3720"/>
      </w:tabs>
      <w:ind w:right="-426"/>
      <w:rPr>
        <w:rFonts w:ascii="Atkinson Hyperlegible" w:hAnsi="Atkinson Hyperlegible"/>
        <w:b/>
        <w:bCs/>
        <w:color w:val="003E6C"/>
      </w:rPr>
    </w:pPr>
    <w:r>
      <w:rPr>
        <w:rFonts w:ascii="Atkinson Hyperlegible" w:hAnsi="Atkinson Hyperlegible"/>
        <w:b/>
        <w:bCs/>
        <w:noProof/>
        <w:color w:val="003E6C"/>
        <w:sz w:val="40"/>
        <w:szCs w:val="40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138430</wp:posOffset>
              </wp:positionV>
              <wp:extent cx="7553325" cy="2914650"/>
              <wp:effectExtent l="0" t="0" r="9525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53325" cy="2914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1" style="position:absolute;mso-wrap-distance-left:9.0pt;mso-wrap-distance-top:0.0pt;mso-wrap-distance-right:9.0pt;mso-wrap-distance-bottom:0.0pt;z-index:251669504;o:allowoverlap:true;o:allowincell:true;mso-position-horizontal-relative:text;margin-left:-56.2pt;mso-position-horizontal:absolute;mso-position-vertical-relative:text;margin-top:10.9pt;mso-position-vertical:absolute;width:594.8pt;height:229.5pt;" coordsize="100000,100000" path="" fillcolor="#FFFFFF" stroked="f" strokeweight="2.00pt">
              <v:path textboxrect="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7A" w:rsidRDefault="00C366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C28"/>
    <w:multiLevelType w:val="hybridMultilevel"/>
    <w:tmpl w:val="1B80472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465"/>
    <w:multiLevelType w:val="hybridMultilevel"/>
    <w:tmpl w:val="2584881A"/>
    <w:lvl w:ilvl="0" w:tplc="AEA8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E82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05A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2CD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4F5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C64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4E7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A0F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EE9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07831"/>
    <w:multiLevelType w:val="hybridMultilevel"/>
    <w:tmpl w:val="9C4CA2BE"/>
    <w:lvl w:ilvl="0" w:tplc="BEB222BA">
      <w:start w:val="1"/>
      <w:numFmt w:val="decimal"/>
      <w:lvlText w:val="%1."/>
      <w:lvlJc w:val="left"/>
      <w:pPr>
        <w:ind w:left="720" w:hanging="360"/>
      </w:pPr>
    </w:lvl>
    <w:lvl w:ilvl="1" w:tplc="8576930E">
      <w:start w:val="1"/>
      <w:numFmt w:val="lowerLetter"/>
      <w:lvlText w:val="%2."/>
      <w:lvlJc w:val="left"/>
      <w:pPr>
        <w:ind w:left="1440" w:hanging="360"/>
      </w:pPr>
    </w:lvl>
    <w:lvl w:ilvl="2" w:tplc="E3AA8EDA">
      <w:start w:val="1"/>
      <w:numFmt w:val="lowerRoman"/>
      <w:lvlText w:val="%3."/>
      <w:lvlJc w:val="right"/>
      <w:pPr>
        <w:ind w:left="2160" w:hanging="180"/>
      </w:pPr>
    </w:lvl>
    <w:lvl w:ilvl="3" w:tplc="BAC816C8">
      <w:start w:val="1"/>
      <w:numFmt w:val="decimal"/>
      <w:lvlText w:val="%4."/>
      <w:lvlJc w:val="left"/>
      <w:pPr>
        <w:ind w:left="2880" w:hanging="360"/>
      </w:pPr>
    </w:lvl>
    <w:lvl w:ilvl="4" w:tplc="689A6EA6">
      <w:start w:val="1"/>
      <w:numFmt w:val="lowerLetter"/>
      <w:lvlText w:val="%5."/>
      <w:lvlJc w:val="left"/>
      <w:pPr>
        <w:ind w:left="3600" w:hanging="360"/>
      </w:pPr>
    </w:lvl>
    <w:lvl w:ilvl="5" w:tplc="783CF922">
      <w:start w:val="1"/>
      <w:numFmt w:val="lowerRoman"/>
      <w:lvlText w:val="%6."/>
      <w:lvlJc w:val="right"/>
      <w:pPr>
        <w:ind w:left="4320" w:hanging="180"/>
      </w:pPr>
    </w:lvl>
    <w:lvl w:ilvl="6" w:tplc="1C4850D4">
      <w:start w:val="1"/>
      <w:numFmt w:val="decimal"/>
      <w:lvlText w:val="%7."/>
      <w:lvlJc w:val="left"/>
      <w:pPr>
        <w:ind w:left="5040" w:hanging="360"/>
      </w:pPr>
    </w:lvl>
    <w:lvl w:ilvl="7" w:tplc="42A2C21E">
      <w:start w:val="1"/>
      <w:numFmt w:val="lowerLetter"/>
      <w:lvlText w:val="%8."/>
      <w:lvlJc w:val="left"/>
      <w:pPr>
        <w:ind w:left="5760" w:hanging="360"/>
      </w:pPr>
    </w:lvl>
    <w:lvl w:ilvl="8" w:tplc="AB9AA3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86B"/>
    <w:multiLevelType w:val="hybridMultilevel"/>
    <w:tmpl w:val="2012A13C"/>
    <w:lvl w:ilvl="0" w:tplc="F6AE06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14F8B28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680A18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ECE012D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4E2F9A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5578554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8ACFE1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2FA0992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5014754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B5B39F4"/>
    <w:multiLevelType w:val="hybridMultilevel"/>
    <w:tmpl w:val="FC5CF3D6"/>
    <w:lvl w:ilvl="0" w:tplc="1CF8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2D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41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2D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0DD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84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4F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6DA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47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3226"/>
    <w:multiLevelType w:val="hybridMultilevel"/>
    <w:tmpl w:val="0CEE8C78"/>
    <w:lvl w:ilvl="0" w:tplc="76422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CF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21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A9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8D4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48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83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6A3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24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A2A03"/>
    <w:multiLevelType w:val="hybridMultilevel"/>
    <w:tmpl w:val="C6901276"/>
    <w:lvl w:ilvl="0" w:tplc="9BDA9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4D9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067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22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694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C7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41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02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0E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FB2"/>
    <w:multiLevelType w:val="hybridMultilevel"/>
    <w:tmpl w:val="4EE8A3FA"/>
    <w:lvl w:ilvl="0" w:tplc="53E86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8A1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89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63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AC8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43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8B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EB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8A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4331"/>
    <w:multiLevelType w:val="hybridMultilevel"/>
    <w:tmpl w:val="03B8E980"/>
    <w:lvl w:ilvl="0" w:tplc="65D0576A">
      <w:start w:val="1"/>
      <w:numFmt w:val="bullet"/>
      <w:lvlText w:val=""/>
      <w:lvlJc w:val="left"/>
      <w:pPr>
        <w:ind w:left="360" w:hanging="360"/>
      </w:pPr>
      <w:rPr>
        <w:rFonts w:ascii="Wingdings" w:eastAsia="Cambria" w:hAnsi="Wingdings" w:cs="Arial" w:hint="default"/>
      </w:rPr>
    </w:lvl>
    <w:lvl w:ilvl="1" w:tplc="08AAB9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AA7F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7A25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226F4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8AED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1681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7E7AF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72D8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064D0"/>
    <w:multiLevelType w:val="hybridMultilevel"/>
    <w:tmpl w:val="7C5EA9A6"/>
    <w:lvl w:ilvl="0" w:tplc="B46E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25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659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0C4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419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EA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AD7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822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6E7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957DE3"/>
    <w:multiLevelType w:val="hybridMultilevel"/>
    <w:tmpl w:val="8348EF32"/>
    <w:lvl w:ilvl="0" w:tplc="D820EC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A26085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813C6F1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B0E4AC8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ABF0C11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1292EEA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756771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9F0CCD6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AF3865D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C07444D"/>
    <w:multiLevelType w:val="hybridMultilevel"/>
    <w:tmpl w:val="0FC69D6E"/>
    <w:lvl w:ilvl="0" w:tplc="18886954">
      <w:start w:val="1"/>
      <w:numFmt w:val="bullet"/>
      <w:lvlText w:val="-"/>
      <w:lvlJc w:val="left"/>
      <w:pPr>
        <w:ind w:left="720" w:hanging="360"/>
      </w:pPr>
      <w:rPr>
        <w:rFonts w:ascii="Atkinson Hyperlegible" w:eastAsia="Calibri" w:hAnsi="Atkinson Hyperlegible" w:cs="Calibri" w:hint="default"/>
      </w:rPr>
    </w:lvl>
    <w:lvl w:ilvl="1" w:tplc="3C562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EB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4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636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EE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4A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55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07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23407"/>
    <w:multiLevelType w:val="hybridMultilevel"/>
    <w:tmpl w:val="78B06BB0"/>
    <w:lvl w:ilvl="0" w:tplc="95FC5774">
      <w:start w:val="1"/>
      <w:numFmt w:val="bullet"/>
      <w:lvlText w:val="-"/>
      <w:lvlJc w:val="left"/>
      <w:pPr>
        <w:ind w:left="720" w:hanging="360"/>
      </w:pPr>
      <w:rPr>
        <w:rFonts w:ascii="Atkinson Hyperlegible" w:eastAsia="Calibri" w:hAnsi="Atkinson Hyperlegible" w:cs="Calibri" w:hint="default"/>
      </w:rPr>
    </w:lvl>
    <w:lvl w:ilvl="1" w:tplc="8774E0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24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48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2B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E0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C0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465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64256"/>
    <w:multiLevelType w:val="hybridMultilevel"/>
    <w:tmpl w:val="4CBC414E"/>
    <w:lvl w:ilvl="0" w:tplc="BC6E6066">
      <w:start w:val="1"/>
      <w:numFmt w:val="decimal"/>
      <w:lvlText w:val="%1."/>
      <w:lvlJc w:val="left"/>
      <w:pPr>
        <w:ind w:left="720" w:hanging="360"/>
      </w:pPr>
    </w:lvl>
    <w:lvl w:ilvl="1" w:tplc="99D4F4FC">
      <w:start w:val="1"/>
      <w:numFmt w:val="lowerLetter"/>
      <w:lvlText w:val="%2."/>
      <w:lvlJc w:val="left"/>
      <w:pPr>
        <w:ind w:left="1440" w:hanging="360"/>
      </w:pPr>
    </w:lvl>
    <w:lvl w:ilvl="2" w:tplc="06AA1B3A">
      <w:start w:val="1"/>
      <w:numFmt w:val="lowerRoman"/>
      <w:lvlText w:val="%3."/>
      <w:lvlJc w:val="right"/>
      <w:pPr>
        <w:ind w:left="2160" w:hanging="180"/>
      </w:pPr>
    </w:lvl>
    <w:lvl w:ilvl="3" w:tplc="D520E6EC">
      <w:start w:val="1"/>
      <w:numFmt w:val="decimal"/>
      <w:lvlText w:val="%4."/>
      <w:lvlJc w:val="left"/>
      <w:pPr>
        <w:ind w:left="2880" w:hanging="360"/>
      </w:pPr>
    </w:lvl>
    <w:lvl w:ilvl="4" w:tplc="8AFA1656">
      <w:start w:val="1"/>
      <w:numFmt w:val="lowerLetter"/>
      <w:lvlText w:val="%5."/>
      <w:lvlJc w:val="left"/>
      <w:pPr>
        <w:ind w:left="3600" w:hanging="360"/>
      </w:pPr>
    </w:lvl>
    <w:lvl w:ilvl="5" w:tplc="38D22F8E">
      <w:start w:val="1"/>
      <w:numFmt w:val="lowerRoman"/>
      <w:lvlText w:val="%6."/>
      <w:lvlJc w:val="right"/>
      <w:pPr>
        <w:ind w:left="4320" w:hanging="180"/>
      </w:pPr>
    </w:lvl>
    <w:lvl w:ilvl="6" w:tplc="B10CB836">
      <w:start w:val="1"/>
      <w:numFmt w:val="decimal"/>
      <w:lvlText w:val="%7."/>
      <w:lvlJc w:val="left"/>
      <w:pPr>
        <w:ind w:left="5040" w:hanging="360"/>
      </w:pPr>
    </w:lvl>
    <w:lvl w:ilvl="7" w:tplc="9D4C04BA">
      <w:start w:val="1"/>
      <w:numFmt w:val="lowerLetter"/>
      <w:lvlText w:val="%8."/>
      <w:lvlJc w:val="left"/>
      <w:pPr>
        <w:ind w:left="5760" w:hanging="360"/>
      </w:pPr>
    </w:lvl>
    <w:lvl w:ilvl="8" w:tplc="AC1637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7A"/>
    <w:rsid w:val="00036FE9"/>
    <w:rsid w:val="000D1EF3"/>
    <w:rsid w:val="00123965"/>
    <w:rsid w:val="00141076"/>
    <w:rsid w:val="001B7C4F"/>
    <w:rsid w:val="0022745D"/>
    <w:rsid w:val="0028200D"/>
    <w:rsid w:val="0031674D"/>
    <w:rsid w:val="00324616"/>
    <w:rsid w:val="00396F8B"/>
    <w:rsid w:val="00462A96"/>
    <w:rsid w:val="004B1FF9"/>
    <w:rsid w:val="004F2342"/>
    <w:rsid w:val="005B3B1F"/>
    <w:rsid w:val="005D75F4"/>
    <w:rsid w:val="0076284B"/>
    <w:rsid w:val="00797D7C"/>
    <w:rsid w:val="008C34CF"/>
    <w:rsid w:val="00A323A0"/>
    <w:rsid w:val="00AD749F"/>
    <w:rsid w:val="00AF0311"/>
    <w:rsid w:val="00B125C5"/>
    <w:rsid w:val="00B31CC4"/>
    <w:rsid w:val="00B91380"/>
    <w:rsid w:val="00C3667A"/>
    <w:rsid w:val="00D701F6"/>
    <w:rsid w:val="00EB3227"/>
    <w:rsid w:val="00EC03A8"/>
    <w:rsid w:val="00EF5C0C"/>
    <w:rsid w:val="00F21AAD"/>
    <w:rsid w:val="00F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D108"/>
  <w15:docId w15:val="{85BAAE3F-25D5-43FD-BAE1-452EABAD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Cambria" w:eastAsia="Cambria" w:hAnsi="Cambria" w:cs="Cambr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 Light" w:eastAsia="Calibri Light" w:hAnsi="Calibri Light" w:cs="Calibri Light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="Atkinson Hyperlegible" w:eastAsia="Calibri" w:hAnsi="Atkinson Hyperlegible" w:cs="Calibri"/>
      <w:sz w:val="22"/>
      <w:szCs w:val="22"/>
      <w:lang w:eastAsia="en-US"/>
    </w:rPr>
  </w:style>
  <w:style w:type="paragraph" w:customStyle="1" w:styleId="FolienAtkinsonmitNummerierung">
    <w:name w:val="Folien Atkinson mit Nummerierung"/>
    <w:basedOn w:val="berschrift1"/>
    <w:next w:val="Standard"/>
    <w:link w:val="FolienAtkinsonmitNummerierungZchn"/>
    <w:qFormat/>
    <w:pPr>
      <w:ind w:left="426"/>
    </w:pPr>
    <w:rPr>
      <w:rFonts w:ascii="Atkinson Hyperlegible" w:hAnsi="Atkinson Hyperlegible"/>
      <w:color w:val="244061" w:themeColor="accent1" w:themeShade="80"/>
      <w:sz w:val="28"/>
    </w:rPr>
  </w:style>
  <w:style w:type="character" w:customStyle="1" w:styleId="FolienAtkinsonmitNummerierungZchn">
    <w:name w:val="Folien Atkinson mit Nummerierung Zchn"/>
    <w:basedOn w:val="Absatz-Standardschriftart"/>
    <w:link w:val="FolienAtkinsonmitNummerierung"/>
    <w:rPr>
      <w:rFonts w:ascii="Atkinson Hyperlegible" w:eastAsia="Calibri Light" w:hAnsi="Atkinson Hyperlegible" w:cs="Calibri Light"/>
      <w:color w:val="244061" w:themeColor="accent1" w:themeShade="80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Atkinson Hyperlegible" w:eastAsia="Calibri" w:hAnsi="Atkinson Hyperlegible" w:cs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tkinson Hyperlegible" w:hAnsi="Atkinson Hyperlegible" w:cs="Calibri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Atkinson Hyperlegible" w:eastAsia="Calibri" w:hAnsi="Atkinson Hyperlegible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tkinson Hyperlegible" w:hAnsi="Atkinson Hyperlegible" w:cs="Calibri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rFonts w:ascii="Atkinson Hyperlegible" w:eastAsia="Calibri" w:hAnsi="Atkinson Hyperlegible" w:cs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tkinson Hyperlegible" w:hAnsi="Atkinson Hyperlegible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E1DFDD" w:fill="E1DFDD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author-a-tz71zz75zdoz77zz87z5z82zjz75z68rz85zz79z">
    <w:name w:val="author-a-tz71zz75zdoz77zz87z5z82zjz75z68rz85zz79z"/>
    <w:basedOn w:val="Absatz-Standardschriftart"/>
  </w:style>
  <w:style w:type="character" w:customStyle="1" w:styleId="author-a-vdb1erpe9apwz80zebl">
    <w:name w:val="author-a-vdb1erpe9apwz80zebl"/>
    <w:basedOn w:val="Absatz-Standardschriftart"/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tkinson Hyperlegible" w:hAnsi="Atkinson Hyperlegible"/>
    </w:rPr>
  </w:style>
  <w:style w:type="paragraph" w:customStyle="1" w:styleId="Pa4">
    <w:name w:val="Pa4"/>
    <w:basedOn w:val="Standard"/>
    <w:next w:val="Standard"/>
    <w:uiPriority w:val="99"/>
    <w:pPr>
      <w:spacing w:line="241" w:lineRule="atLeast"/>
    </w:pPr>
    <w:rPr>
      <w:rFonts w:ascii="Univers" w:hAnsi="Univers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/>
      <w:jc w:val="both"/>
    </w:pPr>
    <w:rPr>
      <w:rFonts w:ascii="Arial" w:hAnsi="Arial"/>
      <w:i/>
      <w:iCs/>
      <w:color w:val="1F497D" w:themeColor="text2"/>
      <w:sz w:val="18"/>
      <w:szCs w:val="18"/>
      <w:lang w:eastAsia="en-US"/>
    </w:rPr>
  </w:style>
  <w:style w:type="paragraph" w:customStyle="1" w:styleId="Marginalien">
    <w:name w:val="Marginalien"/>
    <w:basedOn w:val="Standard"/>
    <w:next w:val="Standard"/>
    <w:qFormat/>
    <w:pPr>
      <w:framePr w:w="3402" w:hSpace="170" w:wrap="around" w:vAnchor="text" w:hAnchor="page" w:y="1"/>
      <w:spacing w:before="120" w:after="120" w:line="360" w:lineRule="auto"/>
    </w:pPr>
    <w:rPr>
      <w:rFonts w:ascii="Atkinson Hyperlegible" w:hAnsi="Atkinson Hyperlegible" w:cs="Arial"/>
      <w:b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mbria" w:eastAsia="Cambria" w:hAnsi="Cambria" w:cs="Cambr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mbria" w:eastAsia="Cambria" w:hAnsi="Cambria" w:cs="Cambria"/>
      <w:b/>
      <w:bCs/>
      <w:sz w:val="20"/>
      <w:szCs w:val="20"/>
      <w:lang w:eastAsia="de-DE"/>
    </w:rPr>
  </w:style>
  <w:style w:type="paragraph" w:customStyle="1" w:styleId="CitaviLiteraturverzeichnis">
    <w:name w:val="Citavi Literaturverzeichnis"/>
    <w:basedOn w:val="Standard"/>
    <w:uiPriority w:val="99"/>
    <w:rsid w:val="00123965"/>
    <w:pPr>
      <w:spacing w:line="259" w:lineRule="auto"/>
      <w:ind w:left="720" w:hanging="720"/>
    </w:pPr>
    <w:rPr>
      <w:rFonts w:ascii="Calibri" w:eastAsia="Calibri" w:hAnsi="Calibri" w:cs="Calibri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1239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6236,bqiaagaaeyqcaaagiaiaaamjfwaabrcxaaaaaaaaaaaaaaaaaaaaaaaaaaaaaaaaaaaaaaaaaaaaaaaaaaaaaaaaaaaaaaaaaaaaaaaaaaaaaaaaaaaaaaaaaaaaaaaaaaaaaaaaaaaaaaaaaaaaaaaaaaaaaaaaaaaaaaaaaaaaaaaaaaaaaaaaaaaaaaaaaaaaaaaaaaaaaaaaaaaaaaaaaaaaaaaaaaaaaaaa"/>
    <w:basedOn w:val="Standard"/>
    <w:rsid w:val="00D701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er-lkb@uni-oldenburg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g"/><Relationship Id="rId3" Type="http://schemas.openxmlformats.org/officeDocument/2006/relationships/image" Target="media/image4.jpg"/><Relationship Id="rId7" Type="http://schemas.openxmlformats.org/officeDocument/2006/relationships/image" Target="media/image6.jpg"/><Relationship Id="rId2" Type="http://schemas.openxmlformats.org/officeDocument/2006/relationships/image" Target="media/image20.jpg"/><Relationship Id="rId1" Type="http://schemas.openxmlformats.org/officeDocument/2006/relationships/image" Target="media/image3.jpg"/><Relationship Id="rId6" Type="http://schemas.openxmlformats.org/officeDocument/2006/relationships/image" Target="media/image40.jpg"/><Relationship Id="rId5" Type="http://schemas.openxmlformats.org/officeDocument/2006/relationships/image" Target="media/image5.jpg"/><Relationship Id="rId4" Type="http://schemas.openxmlformats.org/officeDocument/2006/relationships/image" Target="media/image3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DDEA4331-5E66-49B1-A2E4-011A3B4B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Schorer</dc:creator>
  <cp:keywords/>
  <dc:description/>
  <cp:lastModifiedBy>Susanne Schorer</cp:lastModifiedBy>
  <cp:revision>5</cp:revision>
  <dcterms:created xsi:type="dcterms:W3CDTF">2022-01-30T12:34:00Z</dcterms:created>
  <dcterms:modified xsi:type="dcterms:W3CDTF">2022-01-31T10:46:00Z</dcterms:modified>
</cp:coreProperties>
</file>