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A62C" w14:textId="77777777" w:rsidR="00BB028D" w:rsidRPr="00BB028D" w:rsidRDefault="00BB028D">
      <w:pPr>
        <w:pStyle w:val="Textkrper"/>
        <w:spacing w:after="170" w:line="360" w:lineRule="auto"/>
        <w:ind w:firstLine="283"/>
        <w:jc w:val="center"/>
        <w:rPr>
          <w:rStyle w:val="Hervorhebung"/>
          <w:b/>
          <w:bCs/>
        </w:rPr>
      </w:pPr>
      <w:r w:rsidRPr="00BB028D">
        <w:rPr>
          <w:rStyle w:val="Hervorhebung"/>
          <w:b/>
          <w:bCs/>
        </w:rPr>
        <w:t>Sind typisch "bildungssprachliche" Strukturen "schwierig"? Empirische Befunde zur Schwierigkeit von Verberst-Konditionalsätzen</w:t>
      </w:r>
    </w:p>
    <w:p w14:paraId="0CEA914A" w14:textId="1220287F" w:rsidR="00EF5FBB" w:rsidRDefault="00BB028D">
      <w:pPr>
        <w:pStyle w:val="Textkrper"/>
        <w:spacing w:after="170" w:line="360" w:lineRule="auto"/>
        <w:ind w:firstLine="283"/>
        <w:jc w:val="center"/>
        <w:rPr>
          <w:rFonts w:ascii="Calibri" w:hAnsi="Calibri"/>
          <w:i/>
          <w:color w:val="000000"/>
          <w:sz w:val="22"/>
        </w:rPr>
      </w:pPr>
      <w:r>
        <w:rPr>
          <w:rFonts w:ascii="Calibri" w:hAnsi="Calibri"/>
          <w:i/>
          <w:color w:val="000000"/>
          <w:sz w:val="22"/>
        </w:rPr>
        <w:t xml:space="preserve">Esther Ruigendijk &amp; Juliana Goschler </w:t>
      </w:r>
      <w:r>
        <w:rPr>
          <w:rFonts w:ascii="Calibri" w:hAnsi="Calibri"/>
          <w:i/>
          <w:color w:val="000000"/>
          <w:sz w:val="22"/>
        </w:rPr>
        <w:t>(Universität Oldenburg)</w:t>
      </w:r>
    </w:p>
    <w:p w14:paraId="1DD47C4E" w14:textId="77777777" w:rsidR="00EF5FBB" w:rsidRDefault="00EF5FBB">
      <w:pPr>
        <w:pStyle w:val="Textkrper"/>
        <w:spacing w:after="170" w:line="360" w:lineRule="auto"/>
        <w:ind w:firstLine="283"/>
        <w:jc w:val="both"/>
        <w:rPr>
          <w:rFonts w:ascii="Calibri" w:hAnsi="Calibri"/>
          <w:color w:val="000000"/>
          <w:sz w:val="22"/>
        </w:rPr>
      </w:pPr>
    </w:p>
    <w:p w14:paraId="7BB18D8E" w14:textId="76BE5B36" w:rsidR="00EF5FBB" w:rsidRDefault="00BB028D">
      <w:pPr>
        <w:pStyle w:val="Textkrper"/>
        <w:spacing w:after="170" w:line="360" w:lineRule="auto"/>
        <w:jc w:val="both"/>
      </w:pPr>
      <w:r>
        <w:rPr>
          <w:rFonts w:ascii="Calibri" w:hAnsi="Calibri"/>
          <w:color w:val="000000"/>
          <w:sz w:val="22"/>
        </w:rPr>
        <w:t xml:space="preserve">Seit einigen Jahren herrscht in der </w:t>
      </w:r>
      <w:r>
        <w:rPr>
          <w:rFonts w:ascii="Calibri" w:hAnsi="Calibri"/>
          <w:color w:val="000000"/>
          <w:sz w:val="22"/>
        </w:rPr>
        <w:t>Sprachwissenschaft und -didaktik weitgehend Konsens, dass die Beherrschung der sogenannten „Bildungssprache“ einer der entscheidenden Faktoren für erfolgreiche Teilhabe an Unterricht und Bildung ist und dass mangelnde fachliche Fähigkeiten und generell ge</w:t>
      </w:r>
      <w:r>
        <w:rPr>
          <w:rFonts w:ascii="Calibri" w:hAnsi="Calibri"/>
          <w:color w:val="000000"/>
          <w:sz w:val="22"/>
        </w:rPr>
        <w:t>ringer Bildungserfolg zumindest teilweise durch Schwierigkeiten mit dem Register „Bildungssprache“ zu erklären sind. Die linguistischen Charakteristika der deutschen Bildungssprache sind zumindest in Ansätzen beschrieben und empirisch validiert (siehe z.B.</w:t>
      </w:r>
      <w:r>
        <w:rPr>
          <w:rFonts w:ascii="Calibri" w:hAnsi="Calibri"/>
          <w:color w:val="000000"/>
          <w:sz w:val="22"/>
        </w:rPr>
        <w:t xml:space="preserve"> Gogolin &amp; Roth 2007: 42, Feilke 2012, </w:t>
      </w:r>
      <w:proofErr w:type="spellStart"/>
      <w:r>
        <w:rPr>
          <w:rFonts w:ascii="Calibri" w:hAnsi="Calibri"/>
          <w:color w:val="000000"/>
          <w:sz w:val="22"/>
        </w:rPr>
        <w:t>Kniffka</w:t>
      </w:r>
      <w:proofErr w:type="spellEnd"/>
      <w:r>
        <w:rPr>
          <w:rFonts w:ascii="Calibri" w:hAnsi="Calibri"/>
          <w:color w:val="000000"/>
          <w:sz w:val="22"/>
        </w:rPr>
        <w:t xml:space="preserve"> &amp; Roelcke 2016: 71, Schmölzer-</w:t>
      </w:r>
      <w:proofErr w:type="spellStart"/>
      <w:r>
        <w:rPr>
          <w:rFonts w:ascii="Calibri" w:hAnsi="Calibri"/>
          <w:color w:val="000000"/>
          <w:sz w:val="22"/>
        </w:rPr>
        <w:t>Eibinger</w:t>
      </w:r>
      <w:proofErr w:type="spellEnd"/>
      <w:r>
        <w:rPr>
          <w:rFonts w:ascii="Calibri" w:hAnsi="Calibri"/>
          <w:color w:val="000000"/>
          <w:sz w:val="22"/>
        </w:rPr>
        <w:t xml:space="preserve"> u.a. 2013: 13). Häufig eher implizit wird angenommen, dass diese grammatischen Strukturen für sich genommen „schwierig“ sind und damit auch Texte schwierig machen, in den</w:t>
      </w:r>
      <w:r>
        <w:rPr>
          <w:rFonts w:ascii="Calibri" w:hAnsi="Calibri"/>
          <w:color w:val="000000"/>
          <w:sz w:val="22"/>
        </w:rPr>
        <w:t xml:space="preserve">en sie gehäuft auftreten. Dies ist aber bisher nur in Ansätzen empirisch überprüft worden. </w:t>
      </w:r>
    </w:p>
    <w:p w14:paraId="65907CE4" w14:textId="77777777" w:rsidR="00EF5FBB" w:rsidRDefault="00BB028D">
      <w:pPr>
        <w:pStyle w:val="Textkrper"/>
        <w:spacing w:after="170" w:line="360" w:lineRule="auto"/>
        <w:ind w:firstLine="283"/>
        <w:jc w:val="both"/>
      </w:pPr>
      <w:r>
        <w:rPr>
          <w:rFonts w:ascii="Calibri" w:hAnsi="Calibri"/>
          <w:color w:val="000000"/>
          <w:sz w:val="22"/>
        </w:rPr>
        <w:t>Wir überprüfen deshalb, ob eine typisch „bildungssprachliche“ Satzstruktur, nämlich Verberstsätze mit konditionaler Bedeutung als besonders schwierig wahrgenommen w</w:t>
      </w:r>
      <w:r>
        <w:rPr>
          <w:rFonts w:ascii="Calibri" w:hAnsi="Calibri"/>
          <w:color w:val="000000"/>
          <w:sz w:val="22"/>
        </w:rPr>
        <w:t xml:space="preserve">ird. Verberstsätze mit konditionaler Bedeutung treten vor allem in naturwissenschaftlichen und mathematischen Zusammenhängen – z.B. in Schulbuchtexten für diese Fächer – regelmäßig auf, sind alltagssprachlich aber eher selten. </w:t>
      </w:r>
      <w:r>
        <w:rPr>
          <w:rFonts w:ascii="Calibri" w:hAnsi="Calibri"/>
          <w:color w:val="000000"/>
          <w:sz w:val="22"/>
        </w:rPr>
        <w:t xml:space="preserve">Im zweiten Schritt gehen wir </w:t>
      </w:r>
      <w:r>
        <w:rPr>
          <w:rFonts w:ascii="Calibri" w:hAnsi="Calibri"/>
          <w:color w:val="000000"/>
          <w:sz w:val="22"/>
        </w:rPr>
        <w:t>der Frage nach, ob die wahrgenommene Schwierigkeit dadurch entsteht, dass diese Form eher selten auftritt oder ob die spezifische Kombination von Form und Funktion die Schwierigkeit verursacht.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</w:rPr>
        <w:t>Wenn die Form (Verberststellung) der Grund für die Schwierigke</w:t>
      </w:r>
      <w:r>
        <w:rPr>
          <w:rFonts w:ascii="Calibri" w:hAnsi="Calibri"/>
          <w:color w:val="000000"/>
          <w:sz w:val="22"/>
        </w:rPr>
        <w:t xml:space="preserve">it ist, sollte auch </w:t>
      </w:r>
      <w:proofErr w:type="gramStart"/>
      <w:r>
        <w:rPr>
          <w:rFonts w:ascii="Calibri" w:hAnsi="Calibri"/>
          <w:color w:val="000000"/>
          <w:sz w:val="22"/>
        </w:rPr>
        <w:t>eine  Entscheidungsfrage</w:t>
      </w:r>
      <w:proofErr w:type="gramEnd"/>
      <w:r>
        <w:rPr>
          <w:rFonts w:ascii="Calibri" w:hAnsi="Calibri"/>
          <w:color w:val="000000"/>
          <w:sz w:val="22"/>
        </w:rPr>
        <w:t xml:space="preserve"> wie in (3) als schwierig eingeschätzt werden. Wenn dagegen die Funktion schwierig ist, sollte ein </w:t>
      </w:r>
      <w:proofErr w:type="gramStart"/>
      <w:r>
        <w:rPr>
          <w:rFonts w:ascii="Calibri" w:hAnsi="Calibri"/>
          <w:color w:val="000000"/>
          <w:sz w:val="22"/>
        </w:rPr>
        <w:t>‚</w:t>
      </w:r>
      <w:proofErr w:type="gramEnd"/>
      <w:r>
        <w:rPr>
          <w:rFonts w:ascii="Calibri" w:hAnsi="Calibri"/>
          <w:color w:val="000000"/>
          <w:sz w:val="22"/>
        </w:rPr>
        <w:t>wenn-dann-Konditionalsatz‘ (2) als ähnlich schwierig wahrgenommen werden. Ist beides nicht der Grund für die Sch</w:t>
      </w:r>
      <w:r>
        <w:rPr>
          <w:rFonts w:ascii="Calibri" w:hAnsi="Calibri"/>
          <w:color w:val="000000"/>
          <w:sz w:val="22"/>
        </w:rPr>
        <w:t>wierigkeit, sondern die spezifische Form-Funktion-Verknüpfung, sollte Sätze des Typs (1) als schwieriger wahrgenommen und/oder sogar missverstanden werden.</w:t>
      </w:r>
    </w:p>
    <w:p w14:paraId="73141DDA" w14:textId="77777777" w:rsidR="00EF5FBB" w:rsidRDefault="00BB028D">
      <w:pPr>
        <w:pStyle w:val="Textkrper"/>
        <w:spacing w:after="170" w:line="360" w:lineRule="auto"/>
        <w:ind w:firstLine="283"/>
        <w:jc w:val="both"/>
      </w:pPr>
      <w:r>
        <w:rPr>
          <w:rFonts w:ascii="Calibri" w:hAnsi="Calibri"/>
          <w:color w:val="000000"/>
          <w:sz w:val="22"/>
        </w:rPr>
        <w:t>(1) Bekommt die Pflanze nicht genug Sonnenlicht, stirbt sie.</w:t>
      </w:r>
    </w:p>
    <w:p w14:paraId="65CA2B08" w14:textId="77777777" w:rsidR="00EF5FBB" w:rsidRDefault="00BB028D">
      <w:pPr>
        <w:pStyle w:val="Textkrper"/>
        <w:spacing w:after="170" w:line="360" w:lineRule="auto"/>
        <w:ind w:firstLine="283"/>
        <w:jc w:val="both"/>
      </w:pPr>
      <w:r>
        <w:rPr>
          <w:rFonts w:ascii="Calibri" w:hAnsi="Calibri"/>
          <w:color w:val="000000"/>
          <w:sz w:val="22"/>
        </w:rPr>
        <w:t>(2) Wenn die Pflanze nicht genug Sonnen</w:t>
      </w:r>
      <w:r>
        <w:rPr>
          <w:rFonts w:ascii="Calibri" w:hAnsi="Calibri"/>
          <w:color w:val="000000"/>
          <w:sz w:val="22"/>
        </w:rPr>
        <w:t xml:space="preserve">licht bekommt, dann </w:t>
      </w:r>
      <w:proofErr w:type="spellStart"/>
      <w:r>
        <w:rPr>
          <w:rFonts w:ascii="Calibri" w:hAnsi="Calibri"/>
          <w:color w:val="000000"/>
          <w:sz w:val="22"/>
        </w:rPr>
        <w:t>dann</w:t>
      </w:r>
      <w:proofErr w:type="spellEnd"/>
      <w:r>
        <w:rPr>
          <w:rFonts w:ascii="Calibri" w:hAnsi="Calibri"/>
          <w:color w:val="000000"/>
          <w:sz w:val="22"/>
        </w:rPr>
        <w:t xml:space="preserve"> stirbt sie.</w:t>
      </w:r>
    </w:p>
    <w:p w14:paraId="17E1AF0B" w14:textId="77777777" w:rsidR="00EF5FBB" w:rsidRDefault="00BB028D">
      <w:pPr>
        <w:pStyle w:val="Textkrper"/>
        <w:spacing w:after="170" w:line="360" w:lineRule="auto"/>
        <w:ind w:firstLine="283"/>
        <w:jc w:val="both"/>
      </w:pPr>
      <w:r>
        <w:rPr>
          <w:rFonts w:ascii="Calibri" w:hAnsi="Calibri"/>
          <w:color w:val="000000"/>
          <w:sz w:val="22"/>
        </w:rPr>
        <w:t>(3) Bekommt die Pflanze nicht genug Sonnenlicht und stirbt deshalb?</w:t>
      </w:r>
    </w:p>
    <w:p w14:paraId="48050A5E" w14:textId="3CE9D7C7" w:rsidR="00EF5FBB" w:rsidRDefault="00BB028D">
      <w:pPr>
        <w:pStyle w:val="Textkrper"/>
        <w:spacing w:after="170" w:line="360" w:lineRule="auto"/>
        <w:jc w:val="both"/>
      </w:pPr>
      <w:r>
        <w:rPr>
          <w:rFonts w:ascii="Calibri" w:hAnsi="Calibri"/>
          <w:color w:val="000000"/>
          <w:sz w:val="22"/>
        </w:rPr>
        <w:t xml:space="preserve">30 fortgeschrittene DaF-Lerner*innen (Niveau B2 (GER)) und 30 Sprecher*innen mit Deutsch als Erstsprache (alle Studierende im Alter zwischen 18 und 30 </w:t>
      </w:r>
      <w:r>
        <w:rPr>
          <w:rFonts w:ascii="Calibri" w:hAnsi="Calibri"/>
          <w:color w:val="000000"/>
          <w:sz w:val="22"/>
        </w:rPr>
        <w:t xml:space="preserve">Jahren) bewerteten mittels Magnitude </w:t>
      </w:r>
      <w:proofErr w:type="spellStart"/>
      <w:r>
        <w:rPr>
          <w:rFonts w:ascii="Calibri" w:hAnsi="Calibri"/>
          <w:color w:val="000000"/>
          <w:sz w:val="22"/>
        </w:rPr>
        <w:lastRenderedPageBreak/>
        <w:t>Estimation</w:t>
      </w:r>
      <w:proofErr w:type="spellEnd"/>
      <w:r>
        <w:rPr>
          <w:rFonts w:ascii="Calibri" w:hAnsi="Calibri"/>
          <w:color w:val="000000"/>
          <w:sz w:val="22"/>
        </w:rPr>
        <w:t xml:space="preserve"> (Bard u.a. 1996, </w:t>
      </w:r>
      <w:proofErr w:type="spellStart"/>
      <w:r>
        <w:rPr>
          <w:rFonts w:ascii="Calibri" w:hAnsi="Calibri"/>
          <w:color w:val="000000"/>
          <w:sz w:val="22"/>
        </w:rPr>
        <w:t>Cowart</w:t>
      </w:r>
      <w:proofErr w:type="spellEnd"/>
      <w:r>
        <w:rPr>
          <w:rFonts w:ascii="Calibri" w:hAnsi="Calibri"/>
          <w:color w:val="000000"/>
          <w:sz w:val="22"/>
        </w:rPr>
        <w:t xml:space="preserve"> 1997) verschiedene komplexe Sätze auf ihre Schwierigkeit. Die Ergebnisse zeigen, dass die genannten „bildungssprachlichen“ Strukturen tatsächlich tendenziell als schwieriger eingeschät</w:t>
      </w:r>
      <w:r>
        <w:rPr>
          <w:rFonts w:ascii="Calibri" w:hAnsi="Calibri"/>
          <w:color w:val="000000"/>
          <w:sz w:val="22"/>
        </w:rPr>
        <w:t xml:space="preserve">zt werden. Dabei unterscheiden sich die DaF-Lernenden </w:t>
      </w:r>
      <w:proofErr w:type="gramStart"/>
      <w:r>
        <w:rPr>
          <w:rFonts w:ascii="Calibri" w:hAnsi="Calibri"/>
          <w:color w:val="000000"/>
          <w:sz w:val="22"/>
        </w:rPr>
        <w:t xml:space="preserve">von </w:t>
      </w:r>
      <w:r>
        <w:rPr>
          <w:rFonts w:ascii="Calibri" w:hAnsi="Calibri"/>
          <w:color w:val="000000"/>
          <w:sz w:val="22"/>
        </w:rPr>
        <w:t>den Sprecher</w:t>
      </w:r>
      <w:proofErr w:type="gramEnd"/>
      <w:r>
        <w:rPr>
          <w:rFonts w:ascii="Calibri" w:hAnsi="Calibri"/>
          <w:color w:val="000000"/>
          <w:sz w:val="22"/>
        </w:rPr>
        <w:t>*innen des Deutschen als Erstsprache.</w:t>
      </w:r>
    </w:p>
    <w:p w14:paraId="046B9C08" w14:textId="77777777" w:rsidR="00EF5FBB" w:rsidRDefault="00BB028D">
      <w:pPr>
        <w:pStyle w:val="Textkrper"/>
        <w:spacing w:after="170" w:line="360" w:lineRule="auto"/>
        <w:jc w:val="both"/>
      </w:pPr>
      <w:r>
        <w:rPr>
          <w:rFonts w:ascii="Calibri" w:hAnsi="Calibri"/>
          <w:color w:val="000000"/>
          <w:sz w:val="22"/>
        </w:rPr>
        <w:t>Abschließend diskutieren wir das Potenzial der beschriebenen Methode für weitere empirische Überprüfungen der „Schwierigkeit“ von typisch bildungssp</w:t>
      </w:r>
      <w:r>
        <w:rPr>
          <w:rFonts w:ascii="Calibri" w:hAnsi="Calibri"/>
          <w:color w:val="000000"/>
          <w:sz w:val="22"/>
        </w:rPr>
        <w:t>rachlichen grammatischen Strukturen.</w:t>
      </w:r>
    </w:p>
    <w:p w14:paraId="2F4D9741" w14:textId="77777777" w:rsidR="00EF5FBB" w:rsidRDefault="00EF5FBB">
      <w:pPr>
        <w:pStyle w:val="Textkrper"/>
        <w:spacing w:after="170" w:line="360" w:lineRule="auto"/>
        <w:ind w:firstLine="283"/>
        <w:jc w:val="both"/>
        <w:rPr>
          <w:rFonts w:ascii="Calibri" w:hAnsi="Calibri"/>
          <w:i/>
          <w:color w:val="000000"/>
          <w:sz w:val="22"/>
        </w:rPr>
      </w:pPr>
    </w:p>
    <w:p w14:paraId="4EB062DE" w14:textId="77777777" w:rsidR="00EF5FBB" w:rsidRPr="00BB028D" w:rsidRDefault="00BB028D">
      <w:pPr>
        <w:pStyle w:val="Textkrper"/>
        <w:spacing w:after="160"/>
        <w:jc w:val="both"/>
        <w:rPr>
          <w:lang w:val="en-US"/>
        </w:rPr>
      </w:pPr>
      <w:proofErr w:type="spellStart"/>
      <w:r w:rsidRPr="00BB028D">
        <w:rPr>
          <w:rFonts w:ascii="Calibri" w:hAnsi="Calibri"/>
          <w:color w:val="000000"/>
          <w:sz w:val="20"/>
          <w:lang w:val="en-US"/>
        </w:rPr>
        <w:t>Literatur</w:t>
      </w:r>
      <w:proofErr w:type="spellEnd"/>
      <w:r w:rsidRPr="00BB028D">
        <w:rPr>
          <w:rFonts w:ascii="Calibri" w:hAnsi="Calibri"/>
          <w:color w:val="000000"/>
          <w:sz w:val="20"/>
          <w:lang w:val="en-US"/>
        </w:rPr>
        <w:t>:</w:t>
      </w:r>
    </w:p>
    <w:p w14:paraId="5FCDB8B6" w14:textId="77777777" w:rsidR="00EF5FBB" w:rsidRPr="00BB028D" w:rsidRDefault="00BB028D">
      <w:pPr>
        <w:pStyle w:val="Textkrper"/>
        <w:spacing w:before="113" w:after="0"/>
        <w:jc w:val="both"/>
        <w:rPr>
          <w:lang w:val="en-US"/>
        </w:rPr>
      </w:pPr>
      <w:r w:rsidRPr="00BB028D">
        <w:rPr>
          <w:rFonts w:ascii="Calibri" w:hAnsi="Calibri"/>
          <w:color w:val="000000"/>
          <w:sz w:val="20"/>
          <w:lang w:val="en-US"/>
        </w:rPr>
        <w:t xml:space="preserve">Bard, Ellen </w:t>
      </w:r>
      <w:proofErr w:type="spellStart"/>
      <w:r w:rsidRPr="00BB028D">
        <w:rPr>
          <w:rFonts w:ascii="Calibri" w:hAnsi="Calibri"/>
          <w:color w:val="000000"/>
          <w:sz w:val="20"/>
          <w:lang w:val="en-US"/>
        </w:rPr>
        <w:t>Gurman</w:t>
      </w:r>
      <w:proofErr w:type="spellEnd"/>
      <w:r w:rsidRPr="00BB028D">
        <w:rPr>
          <w:rFonts w:ascii="Calibri" w:hAnsi="Calibri"/>
          <w:color w:val="000000"/>
          <w:sz w:val="20"/>
          <w:lang w:val="en-US"/>
        </w:rPr>
        <w:t xml:space="preserve">, Robertson, Dan &amp; </w:t>
      </w:r>
      <w:proofErr w:type="spellStart"/>
      <w:r w:rsidRPr="00BB028D">
        <w:rPr>
          <w:rFonts w:ascii="Calibri" w:hAnsi="Calibri"/>
          <w:color w:val="000000"/>
          <w:sz w:val="20"/>
          <w:lang w:val="en-US"/>
        </w:rPr>
        <w:t>Sorace</w:t>
      </w:r>
      <w:proofErr w:type="spellEnd"/>
      <w:r w:rsidRPr="00BB028D">
        <w:rPr>
          <w:rFonts w:ascii="Calibri" w:hAnsi="Calibri"/>
          <w:color w:val="000000"/>
          <w:sz w:val="20"/>
          <w:lang w:val="en-US"/>
        </w:rPr>
        <w:t xml:space="preserve">, Antonella (1996): Magnitude Estimation of Linguistic Acceptability. In </w:t>
      </w:r>
      <w:r w:rsidRPr="00BB028D">
        <w:rPr>
          <w:rFonts w:ascii="Calibri" w:hAnsi="Calibri"/>
          <w:i/>
          <w:color w:val="000000"/>
          <w:sz w:val="20"/>
          <w:lang w:val="en-US"/>
        </w:rPr>
        <w:t>Language</w:t>
      </w:r>
      <w:r w:rsidRPr="00BB028D">
        <w:rPr>
          <w:rFonts w:ascii="Calibri" w:hAnsi="Calibri"/>
          <w:color w:val="000000"/>
          <w:sz w:val="20"/>
          <w:lang w:val="en-US"/>
        </w:rPr>
        <w:t xml:space="preserve"> 72: 32-68. </w:t>
      </w:r>
    </w:p>
    <w:p w14:paraId="723404B1" w14:textId="77777777" w:rsidR="00EF5FBB" w:rsidRDefault="00BB028D">
      <w:pPr>
        <w:pStyle w:val="Textkrper"/>
        <w:spacing w:before="113" w:after="0"/>
        <w:jc w:val="both"/>
      </w:pPr>
      <w:r w:rsidRPr="00BB028D">
        <w:rPr>
          <w:rFonts w:ascii="Calibri" w:hAnsi="Calibri"/>
          <w:color w:val="000000"/>
          <w:sz w:val="20"/>
          <w:lang w:val="en-US"/>
        </w:rPr>
        <w:t xml:space="preserve">Cowart, Wayne (1997): </w:t>
      </w:r>
      <w:r w:rsidRPr="00BB028D">
        <w:rPr>
          <w:rFonts w:ascii="Calibri" w:hAnsi="Calibri"/>
          <w:i/>
          <w:color w:val="000000"/>
          <w:sz w:val="20"/>
          <w:lang w:val="en-US"/>
        </w:rPr>
        <w:t xml:space="preserve">Experimental Syntax: Applying Objective Methods </w:t>
      </w:r>
      <w:r w:rsidRPr="00BB028D">
        <w:rPr>
          <w:rFonts w:ascii="Calibri" w:hAnsi="Calibri"/>
          <w:i/>
          <w:color w:val="000000"/>
          <w:sz w:val="20"/>
          <w:lang w:val="en-US"/>
        </w:rPr>
        <w:t>to Sentence Judgments.</w:t>
      </w:r>
      <w:r w:rsidRPr="00BB028D">
        <w:rPr>
          <w:rFonts w:ascii="Calibri" w:hAnsi="Calibri"/>
          <w:color w:val="000000"/>
          <w:sz w:val="20"/>
          <w:lang w:val="en-US"/>
        </w:rPr>
        <w:t xml:space="preserve"> </w:t>
      </w:r>
      <w:r>
        <w:rPr>
          <w:rFonts w:ascii="Calibri" w:hAnsi="Calibri"/>
          <w:color w:val="000000"/>
          <w:sz w:val="20"/>
        </w:rPr>
        <w:t xml:space="preserve">Thousand Oaks, CA: Sage. </w:t>
      </w:r>
    </w:p>
    <w:p w14:paraId="50A4EDB1" w14:textId="77777777" w:rsidR="00EF5FBB" w:rsidRDefault="00BB028D">
      <w:pPr>
        <w:pStyle w:val="Textkrper"/>
        <w:spacing w:before="113" w:after="0"/>
        <w:jc w:val="both"/>
      </w:pPr>
      <w:r>
        <w:rPr>
          <w:rFonts w:ascii="Calibri" w:hAnsi="Calibri"/>
          <w:color w:val="000000"/>
          <w:sz w:val="20"/>
        </w:rPr>
        <w:t>Feilke, Helmuth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0"/>
        </w:rPr>
        <w:t>(2012): Bildungssprachliche Kompetenzen – fördern und entwickeln. In Praxis Deutsch 233: 4-13.</w:t>
      </w:r>
    </w:p>
    <w:p w14:paraId="623F6EA6" w14:textId="77777777" w:rsidR="00EF5FBB" w:rsidRDefault="00BB028D">
      <w:pPr>
        <w:pStyle w:val="Textkrper"/>
        <w:spacing w:before="113" w:after="0"/>
        <w:jc w:val="both"/>
      </w:pPr>
      <w:r>
        <w:rPr>
          <w:rFonts w:ascii="Calibri" w:hAnsi="Calibri"/>
          <w:color w:val="000000"/>
          <w:sz w:val="20"/>
        </w:rPr>
        <w:t>Gogolin, Ingrid &amp; Roth, Hans-Joachim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0"/>
        </w:rPr>
        <w:t>(2007): Bilinguale Grundschule. Ein Beitrag zur Förderung d</w:t>
      </w:r>
      <w:r>
        <w:rPr>
          <w:rFonts w:ascii="Calibri" w:hAnsi="Calibri"/>
          <w:color w:val="000000"/>
          <w:sz w:val="20"/>
        </w:rPr>
        <w:t>er Mehrsprachigkeit. In Tanja Anstatt (</w:t>
      </w:r>
      <w:proofErr w:type="spellStart"/>
      <w:r>
        <w:rPr>
          <w:rFonts w:ascii="Calibri" w:hAnsi="Calibri"/>
          <w:color w:val="000000"/>
          <w:sz w:val="20"/>
        </w:rPr>
        <w:t>Hg</w:t>
      </w:r>
      <w:proofErr w:type="spellEnd"/>
      <w:r>
        <w:rPr>
          <w:rFonts w:ascii="Calibri" w:hAnsi="Calibri"/>
          <w:color w:val="000000"/>
          <w:sz w:val="20"/>
        </w:rPr>
        <w:t>.), Mehrsprachigkeit bei Kindern und Erwachsenen. Erwerb, Formen, Förderung. Tübingen: Attempto, 31-46.</w:t>
      </w:r>
    </w:p>
    <w:p w14:paraId="3684BDDB" w14:textId="77777777" w:rsidR="00EF5FBB" w:rsidRDefault="00BB028D">
      <w:pPr>
        <w:pStyle w:val="Textkrper"/>
        <w:spacing w:before="113" w:after="0"/>
        <w:jc w:val="both"/>
      </w:pPr>
      <w:proofErr w:type="spellStart"/>
      <w:r>
        <w:rPr>
          <w:rFonts w:ascii="Calibri" w:hAnsi="Calibri"/>
          <w:color w:val="000000"/>
          <w:sz w:val="20"/>
        </w:rPr>
        <w:t>Kniffka</w:t>
      </w:r>
      <w:proofErr w:type="spellEnd"/>
      <w:r>
        <w:rPr>
          <w:rFonts w:ascii="Calibri" w:hAnsi="Calibri"/>
          <w:color w:val="000000"/>
          <w:sz w:val="20"/>
        </w:rPr>
        <w:t>, Gabriele &amp; Roelcke, Thorsten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0"/>
        </w:rPr>
        <w:t>(2016): Fachsprachenvermittlung im Unterricht. Paderborn: Schöningh.</w:t>
      </w:r>
    </w:p>
    <w:p w14:paraId="1D745573" w14:textId="77777777" w:rsidR="00EF5FBB" w:rsidRDefault="00BB028D">
      <w:pPr>
        <w:pStyle w:val="Textkrper"/>
        <w:spacing w:before="113" w:after="0"/>
        <w:jc w:val="both"/>
      </w:pPr>
      <w:r>
        <w:rPr>
          <w:rFonts w:ascii="Calibri" w:hAnsi="Calibri"/>
          <w:color w:val="000000"/>
          <w:sz w:val="20"/>
        </w:rPr>
        <w:t>Schm</w:t>
      </w:r>
      <w:r>
        <w:rPr>
          <w:rFonts w:ascii="Calibri" w:hAnsi="Calibri"/>
          <w:color w:val="000000"/>
          <w:sz w:val="20"/>
        </w:rPr>
        <w:t>ölzer-</w:t>
      </w:r>
      <w:proofErr w:type="spellStart"/>
      <w:r>
        <w:rPr>
          <w:rFonts w:ascii="Calibri" w:hAnsi="Calibri"/>
          <w:color w:val="000000"/>
          <w:sz w:val="20"/>
        </w:rPr>
        <w:t>Eibinger</w:t>
      </w:r>
      <w:proofErr w:type="spellEnd"/>
      <w:r>
        <w:rPr>
          <w:rFonts w:ascii="Calibri" w:hAnsi="Calibri"/>
          <w:color w:val="000000"/>
          <w:sz w:val="20"/>
        </w:rPr>
        <w:t>, Sabine; Dorner, Magdalena; Langer, Elisabeth &amp; Helten-Pacher, Maria-Rita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0"/>
        </w:rPr>
        <w:t xml:space="preserve">(2013): Sprachförderung im Fachunterricht in sprachlich heterogenen Klassen. Stuttgart: </w:t>
      </w:r>
      <w:proofErr w:type="spellStart"/>
      <w:r>
        <w:rPr>
          <w:rFonts w:ascii="Calibri" w:hAnsi="Calibri"/>
          <w:color w:val="000000"/>
          <w:sz w:val="20"/>
        </w:rPr>
        <w:t>Fillibach</w:t>
      </w:r>
      <w:proofErr w:type="spellEnd"/>
      <w:r>
        <w:rPr>
          <w:rFonts w:ascii="Calibri" w:hAnsi="Calibri"/>
          <w:color w:val="000000"/>
          <w:sz w:val="20"/>
        </w:rPr>
        <w:t>.</w:t>
      </w:r>
    </w:p>
    <w:p w14:paraId="12FEDCEB" w14:textId="77777777" w:rsidR="00EF5FBB" w:rsidRDefault="00EF5FBB">
      <w:pPr>
        <w:spacing w:before="113" w:line="276" w:lineRule="auto"/>
      </w:pPr>
    </w:p>
    <w:sectPr w:rsidR="00EF5FBB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B"/>
    <w:rsid w:val="00BB028D"/>
    <w:rsid w:val="00E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F46E"/>
  <w15:docId w15:val="{24CCDB49-3F94-43B1-8363-7859D4E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ervorhebung">
    <w:name w:val="Emphasis"/>
    <w:basedOn w:val="Absatz-Standardschriftart"/>
    <w:uiPriority w:val="20"/>
    <w:qFormat/>
    <w:rsid w:val="00BB0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3450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Ruigendijk</dc:creator>
  <dc:description/>
  <cp:lastModifiedBy>Esther Ruigendijk</cp:lastModifiedBy>
  <cp:revision>2</cp:revision>
  <dcterms:created xsi:type="dcterms:W3CDTF">2022-09-20T14:34:00Z</dcterms:created>
  <dcterms:modified xsi:type="dcterms:W3CDTF">2022-09-20T14:34:00Z</dcterms:modified>
  <dc:language>de-DE</dc:language>
</cp:coreProperties>
</file>