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A57" w:rsidRDefault="00EC0A57"/>
    <w:p w:rsidR="00EC0A57" w:rsidRDefault="00EC0A57"/>
    <w:p w:rsidR="00474FCE" w:rsidRDefault="00755EE5">
      <w:r w:rsidRPr="00DB20C4">
        <w:rPr>
          <w:rStyle w:val="berschrift3Zchn"/>
        </w:rPr>
        <w:t xml:space="preserve">Prof. Dr.-Ing. Ortwin </w:t>
      </w:r>
      <w:proofErr w:type="spellStart"/>
      <w:r w:rsidRPr="00DB20C4">
        <w:rPr>
          <w:rStyle w:val="berschrift3Zchn"/>
        </w:rPr>
        <w:t>Peithmann</w:t>
      </w:r>
      <w:proofErr w:type="spellEnd"/>
      <w:r w:rsidRPr="00DB20C4">
        <w:rPr>
          <w:rStyle w:val="berschrift3Zchn"/>
        </w:rPr>
        <w:t xml:space="preserve">  </w:t>
      </w:r>
      <w:r>
        <w:t xml:space="preserve">                                                                              </w:t>
      </w:r>
      <w:r w:rsidR="00EF17DE">
        <w:t xml:space="preserve">       </w:t>
      </w:r>
      <w:r>
        <w:t>03.06.2015</w:t>
      </w:r>
    </w:p>
    <w:p w:rsidR="00755EE5" w:rsidRDefault="00755EE5"/>
    <w:p w:rsidR="00755EE5" w:rsidRDefault="00755EE5" w:rsidP="00DB20C4">
      <w:pPr>
        <w:pStyle w:val="berschrift3"/>
        <w:numPr>
          <w:ilvl w:val="0"/>
          <w:numId w:val="0"/>
        </w:numPr>
      </w:pPr>
      <w:bookmarkStart w:id="0" w:name="_GoBack"/>
      <w:bookmarkEnd w:id="0"/>
      <w:r>
        <w:t>Beitra</w:t>
      </w:r>
      <w:r w:rsidR="00EF17DE">
        <w:t xml:space="preserve">g zu </w:t>
      </w:r>
      <w:proofErr w:type="spellStart"/>
      <w:r w:rsidR="00EF17DE">
        <w:t>ZENARiO</w:t>
      </w:r>
      <w:proofErr w:type="spellEnd"/>
      <w:r w:rsidR="00EF17DE">
        <w:t>-Informationen</w:t>
      </w:r>
    </w:p>
    <w:p w:rsidR="00755EE5" w:rsidRDefault="00755EE5"/>
    <w:p w:rsidR="00755EE5" w:rsidRDefault="00755EE5"/>
    <w:p w:rsidR="00755EE5" w:rsidRDefault="00755EE5" w:rsidP="00DB20C4">
      <w:pPr>
        <w:pStyle w:val="berschrift1"/>
      </w:pPr>
      <w:r>
        <w:t>„</w:t>
      </w:r>
      <w:proofErr w:type="spellStart"/>
      <w:r>
        <w:t>Unverantwortete</w:t>
      </w:r>
      <w:proofErr w:type="spellEnd"/>
      <w:r>
        <w:t xml:space="preserve"> Landschaften –</w:t>
      </w:r>
      <w:r w:rsidR="00D12895">
        <w:t xml:space="preserve"> </w:t>
      </w:r>
      <w:r w:rsidR="00EF17DE">
        <w:t>Schwierigkeiten mit § 35 BauGB“</w:t>
      </w:r>
    </w:p>
    <w:p w:rsidR="00755EE5" w:rsidRDefault="00755EE5"/>
    <w:p w:rsidR="00755EE5" w:rsidRDefault="00755EE5"/>
    <w:p w:rsidR="00755EE5" w:rsidRDefault="00EF17DE" w:rsidP="00DB20C4">
      <w:pPr>
        <w:jc w:val="both"/>
      </w:pPr>
      <w:r>
        <w:t xml:space="preserve">Der Autor ist Mitglied </w:t>
      </w:r>
      <w:r w:rsidR="00D12895">
        <w:t xml:space="preserve">der Länderarbeitsgemeinschaft </w:t>
      </w:r>
      <w:r>
        <w:t xml:space="preserve">(LAG) </w:t>
      </w:r>
      <w:r w:rsidR="00D12895">
        <w:t xml:space="preserve">Nord-West </w:t>
      </w:r>
      <w:r>
        <w:t xml:space="preserve">der Akademie für Raumforschung. Er hat der LAG </w:t>
      </w:r>
      <w:r w:rsidR="00D12895">
        <w:t>vorgeschlagen, die Regelungen des § 35 Baugesetzbuch anhand der Erfahrung</w:t>
      </w:r>
      <w:r w:rsidR="00A31327">
        <w:t>en</w:t>
      </w:r>
      <w:r w:rsidR="00D12895">
        <w:t xml:space="preserve"> im norddeutschen Raum zu überprüfen. </w:t>
      </w:r>
      <w:r w:rsidR="002C6697">
        <w:t>Es gibt ein aktuelles „Positionspapier“ der ARL (Nr. 94</w:t>
      </w:r>
      <w:r w:rsidR="00632F16">
        <w:t>, 2013</w:t>
      </w:r>
      <w:r w:rsidR="002C6697">
        <w:t xml:space="preserve">) zum Reformbedarf bei § 35 BauGB. Die Reformvorschläge darin fokussieren auf eine stärkere Einschaltung der Regionalplanung bei privilegierten Vorhaben </w:t>
      </w:r>
      <w:r w:rsidR="00A31327">
        <w:t>über eine Schärfung des Begriffs „raumbedeutsam“. Der Autor schlägt vor, einen Schritt weiter zu gehen und die</w:t>
      </w:r>
      <w:r w:rsidR="002C6697">
        <w:t xml:space="preserve"> Regelungskonstruktion</w:t>
      </w:r>
      <w:r w:rsidR="00A31327">
        <w:t xml:space="preserve"> des Paragrafen grundsätzlicher in Frage zu stellen</w:t>
      </w:r>
      <w:r w:rsidR="002C6697">
        <w:t xml:space="preserve">. </w:t>
      </w:r>
      <w:r w:rsidR="00D12895">
        <w:t>Im Rahmen einer “Sondierung“ wird zur Zeit</w:t>
      </w:r>
      <w:r w:rsidR="002C6697">
        <w:t xml:space="preserve"> geklärt</w:t>
      </w:r>
      <w:r w:rsidR="00D12895">
        <w:t>, ob eine Fachtagung zu diesem Thema sinnvoll ist und welche Themen Inhalt einer solchen Tagun</w:t>
      </w:r>
      <w:r w:rsidR="00A31327">
        <w:t>g sein sollten. Eine Expertengruppe</w:t>
      </w:r>
      <w:r w:rsidR="00D12895">
        <w:t xml:space="preserve"> hat dazu am 22.05.2015 in Hamburg beraten. </w:t>
      </w:r>
    </w:p>
    <w:p w:rsidR="00D12895" w:rsidRDefault="00D12895" w:rsidP="00DB20C4">
      <w:pPr>
        <w:jc w:val="both"/>
      </w:pPr>
    </w:p>
    <w:p w:rsidR="00755EE5" w:rsidRDefault="00D12895" w:rsidP="00DB20C4">
      <w:pPr>
        <w:jc w:val="both"/>
      </w:pPr>
      <w:r>
        <w:t xml:space="preserve">Worum geht es bei § 35? </w:t>
      </w:r>
      <w:r w:rsidR="00755EE5">
        <w:t xml:space="preserve">Die Bürger gewinnen beim Blick in das Baugesetzbuch den Eindruck, dass </w:t>
      </w:r>
      <w:r>
        <w:t xml:space="preserve">die politischen Entscheidungsträger in </w:t>
      </w:r>
      <w:r w:rsidR="00755EE5">
        <w:t>ihre</w:t>
      </w:r>
      <w:r>
        <w:t>n</w:t>
      </w:r>
      <w:r w:rsidR="00755EE5">
        <w:t xml:space="preserve"> Gemeinden</w:t>
      </w:r>
      <w:r>
        <w:t xml:space="preserve"> </w:t>
      </w:r>
      <w:r w:rsidR="00EF17DE">
        <w:t>die Flächennutzung im Gemeindeg</w:t>
      </w:r>
      <w:r>
        <w:t>ebiet weitgehend autonom gestalten</w:t>
      </w:r>
      <w:r w:rsidR="00755EE5">
        <w:t xml:space="preserve"> und dass die Bürger über di</w:t>
      </w:r>
      <w:r w:rsidR="00A31327">
        <w:t xml:space="preserve">e mehrfachen Beteiligungsrechte </w:t>
      </w:r>
      <w:r w:rsidR="00755EE5">
        <w:t>an Ergebnissen der Bauleitplanung daran mitwirken können. Einschränkungen der „gemeindlichen Planungshoheit“  werden für diejenigen Flächen verständlich, auf die aus übergeordneten Notwendigkeiten im Interesse der größeren Raumgemeinschaft</w:t>
      </w:r>
      <w:r w:rsidR="00EF17DE">
        <w:t>en</w:t>
      </w:r>
      <w:r w:rsidR="00755EE5">
        <w:t xml:space="preserve"> zugegriffen werden soll. Dieser Zugriff kann baulich sein als Ergebnis einer Planfeststellung seitens einer Fachplanung. Er kann aber auch ein „negativer Zugriff“ in Form eines Schutzanspruchs für Flächen sein, wie sie insbesondere durch das Naturschutz</w:t>
      </w:r>
      <w:r>
        <w:t>- und Wasser</w:t>
      </w:r>
      <w:r w:rsidR="00755EE5">
        <w:t xml:space="preserve">recht begründet werden. Auch hier spricht man von „Fachplanung“, weil sie sich auf einen fachlichen Blickwinkel und </w:t>
      </w:r>
      <w:r w:rsidR="00D00F30">
        <w:t xml:space="preserve">i.d.R. auch </w:t>
      </w:r>
      <w:r w:rsidR="00755EE5">
        <w:t xml:space="preserve">fachliche Trägerschaft </w:t>
      </w:r>
      <w:r w:rsidR="00D00F30">
        <w:t xml:space="preserve">für die Maßnahmen </w:t>
      </w:r>
      <w:r w:rsidR="00755EE5">
        <w:t xml:space="preserve">beziehen. Fachplanungen haben </w:t>
      </w:r>
      <w:r w:rsidR="00142805">
        <w:t xml:space="preserve">- </w:t>
      </w:r>
      <w:r w:rsidR="00755EE5">
        <w:t xml:space="preserve">wie die Raumplanung </w:t>
      </w:r>
      <w:r w:rsidR="00142805">
        <w:t xml:space="preserve">- </w:t>
      </w:r>
      <w:r w:rsidR="00755EE5">
        <w:t>i.d.R. eine mehrstufige Hierarchie zu</w:t>
      </w:r>
      <w:r w:rsidR="00EF17DE">
        <w:t>r</w:t>
      </w:r>
      <w:r w:rsidR="00755EE5">
        <w:t xml:space="preserve"> Ableitung räumlich konkreter Entscheidungen. </w:t>
      </w:r>
      <w:r w:rsidR="00142805">
        <w:t>Die</w:t>
      </w:r>
      <w:r w:rsidR="00632F16">
        <w:t>se</w:t>
      </w:r>
      <w:r w:rsidR="00142805">
        <w:t xml:space="preserve"> Ableitungen machen die örtliche</w:t>
      </w:r>
      <w:r w:rsidR="00632F16">
        <w:t>n</w:t>
      </w:r>
      <w:r w:rsidR="00142805">
        <w:t xml:space="preserve"> Entscheidung</w:t>
      </w:r>
      <w:r w:rsidR="00632F16">
        <w:t>en</w:t>
      </w:r>
      <w:r w:rsidR="00142805">
        <w:t xml:space="preserve"> verständlich und begründen ihre Notwendigkeit. Die Gemeinden sind an den übergeordneten Festlegungen der Fachplanungen beteiligt. Die Fachstellen sind verpflichtet, Stellungnahmen der Gemeinden </w:t>
      </w:r>
      <w:r w:rsidR="00A31327">
        <w:t xml:space="preserve">mit besonderem Gewicht </w:t>
      </w:r>
      <w:r w:rsidR="00142805">
        <w:t>in ihre Abwägung einzustellen.</w:t>
      </w:r>
      <w:r w:rsidR="00EF17DE">
        <w:t xml:space="preserve"> So können die Bedingungen des einzelnen Ortes und mittelbar auch die Positionen der Bewohner frühzeitig in die übergeordnete Planung einfließen.</w:t>
      </w:r>
    </w:p>
    <w:p w:rsidR="00142805" w:rsidRDefault="00142805" w:rsidP="00DB20C4">
      <w:pPr>
        <w:jc w:val="both"/>
      </w:pPr>
    </w:p>
    <w:p w:rsidR="00142805" w:rsidRDefault="00142805" w:rsidP="00DB20C4">
      <w:pPr>
        <w:jc w:val="both"/>
      </w:pPr>
      <w:r>
        <w:t>Bei § 35 BauGB liegen die Verhältnisse anders. Über seine Regelungen</w:t>
      </w:r>
      <w:r w:rsidR="00345A57">
        <w:t xml:space="preserve"> erhalten ausgewählte Akteure Privilegien für den Zugriff auf Baurecht an Flächen</w:t>
      </w:r>
      <w:r w:rsidR="00D12895">
        <w:t>, mit denen sich die Gemeinde i</w:t>
      </w:r>
      <w:r w:rsidR="00345A57">
        <w:t xml:space="preserve">m Rahmen ihrer Planungshoheit </w:t>
      </w:r>
      <w:r w:rsidR="00D00F30">
        <w:t xml:space="preserve">bisher </w:t>
      </w:r>
      <w:r w:rsidR="00345A57">
        <w:t xml:space="preserve">nicht spezifisch beschäftigt hat. Sie liegen im „Außenbereich“, der durch das </w:t>
      </w:r>
      <w:r w:rsidR="00345A57">
        <w:lastRenderedPageBreak/>
        <w:t>Fehlen von Bebauungsplä</w:t>
      </w:r>
      <w:r w:rsidR="00D12895">
        <w:t>nen oder das Vorhandensein von</w:t>
      </w:r>
      <w:r w:rsidR="00345A57">
        <w:t xml:space="preserve"> im Zusammenhang bebauten</w:t>
      </w:r>
      <w:r w:rsidR="00D12895">
        <w:t xml:space="preserve"> Ortsteilen definiert ist.</w:t>
      </w:r>
      <w:r w:rsidR="00D00F30">
        <w:t xml:space="preserve"> Die Flächen im Außenbereich lassen sich der Menge nach grob in „Flächen für die Landwirtschaft“ und „Flächen für die Forstwirtschaft</w:t>
      </w:r>
      <w:r w:rsidR="00A31327">
        <w:t>“</w:t>
      </w:r>
      <w:r w:rsidR="00D00F30">
        <w:t xml:space="preserve"> einteilen. Als solche werden sie im Flächennutzungsplan geführt. Die Flächen für die Forstwirtschaft sind in ihrem Bestand durch die Landeswaldgesetze gesichert, sie verändern sich durch periodischen Einschlag in ihrem Erscheinungsbild, bleiben aber über sehr große Zeiträume nutzungshomogen. Sie können hier außer Betracht bleiben.</w:t>
      </w:r>
    </w:p>
    <w:p w:rsidR="00D00F30" w:rsidRDefault="00D00F30" w:rsidP="00DB20C4">
      <w:pPr>
        <w:jc w:val="both"/>
      </w:pPr>
    </w:p>
    <w:p w:rsidR="000E12F5" w:rsidRDefault="00D00F30" w:rsidP="00DB20C4">
      <w:pPr>
        <w:jc w:val="both"/>
      </w:pPr>
      <w:r>
        <w:t>Auf den „Flächen für die Landwirtschaft“ vollzieht sich</w:t>
      </w:r>
      <w:r w:rsidR="00A31327">
        <w:t xml:space="preserve"> demgegenüber</w:t>
      </w:r>
      <w:r>
        <w:t xml:space="preserve"> – mit extremen regionalen Unterschieden, die sich vorrangig aus den natürlichen Bodenfunktionen ergeben – ein ständiger Wandel. Zum einen prägen veränderte Fruchtfolgen die Landschaft (Mais, Raps). Das erscheint nicht regelungsfähig</w:t>
      </w:r>
      <w:r w:rsidR="000E12F5">
        <w:t xml:space="preserve"> und wegen der jährlichen Veränderbarkeit nicht regelungsbedürftig</w:t>
      </w:r>
      <w:r>
        <w:t>, es unterliegt den Marktbedingungen für die angebauten Feldfrüchte</w:t>
      </w:r>
      <w:r w:rsidR="00A31327">
        <w:t xml:space="preserve"> und steht in der Entscheidung der landwirtschaftlichen Betriebe</w:t>
      </w:r>
      <w:r>
        <w:t>. Zum anderen werden Bild und Funktion der Flächen für die Landwirt</w:t>
      </w:r>
      <w:r w:rsidR="000E12F5">
        <w:t>schaft von Gebäuden geprägt, für deren Errichtung § 35 BauGB die Voraussetzungen schafft. Damit nimmt er bezogen auf die Gemeinde als Träger der Planungshoheit eine Sonderstellung im Planungsrecht ein: Er verschafft dem Träger des Vorhabens im Rahmen weiter Kriterien eine Vorabgenehmigung durch den Bundesgesetzgeber, vorbei an Regionalplanung und Bauleitplanung. Der Bundestag vergibt</w:t>
      </w:r>
      <w:r w:rsidR="003F55B6">
        <w:t xml:space="preserve"> so</w:t>
      </w:r>
      <w:r w:rsidR="000E12F5">
        <w:t xml:space="preserve"> de facto Baurecht in den Gemeinden im Rahmen von Kriterien, ohne sich abwägend mit den Bedingungen der Örtlichkeit auseinanderzusetzen.  </w:t>
      </w:r>
    </w:p>
    <w:p w:rsidR="000E12F5" w:rsidRDefault="000E12F5" w:rsidP="00DB20C4">
      <w:pPr>
        <w:jc w:val="both"/>
      </w:pPr>
    </w:p>
    <w:p w:rsidR="00D00F30" w:rsidRDefault="000E12F5" w:rsidP="00DB20C4">
      <w:pPr>
        <w:jc w:val="both"/>
      </w:pPr>
      <w:r>
        <w:t xml:space="preserve">Das war hinnehmbar in der Zeit der Erstaufstellung des BauGB </w:t>
      </w:r>
      <w:r w:rsidR="00EF17DE">
        <w:t xml:space="preserve">Ende der 50er Jahre </w:t>
      </w:r>
      <w:r>
        <w:t>(</w:t>
      </w:r>
      <w:r w:rsidR="00EF17DE">
        <w:t>damals „</w:t>
      </w:r>
      <w:r>
        <w:t>Bundesbaugesetz</w:t>
      </w:r>
      <w:r w:rsidR="00EF17DE">
        <w:t>“). In jener Zeit</w:t>
      </w:r>
      <w:r>
        <w:t xml:space="preserve"> </w:t>
      </w:r>
      <w:r w:rsidR="00751124">
        <w:t>trat die Landwirtschaft idyllisch in Erscheinung, so wie sie h</w:t>
      </w:r>
      <w:r w:rsidR="00A31327">
        <w:t>eute noch in Kinderbüchern dargestellt</w:t>
      </w:r>
      <w:r w:rsidR="00751124">
        <w:t xml:space="preserve"> wird. Infolge der Industrialisierung der Arbeitsabläufe im Wettbewerb sind landwirtschaftliche Betriebe inzwischen hochspezialisiert und zeigen folglich </w:t>
      </w:r>
      <w:r w:rsidR="00A31327">
        <w:t xml:space="preserve">auch nach Bauvolumen, Standort und Verkehrserzeugung </w:t>
      </w:r>
      <w:r w:rsidR="00751124">
        <w:t>Ausprägungen,</w:t>
      </w:r>
      <w:r w:rsidR="00A31327">
        <w:t xml:space="preserve"> die denen von Gewerbe- </w:t>
      </w:r>
      <w:r w:rsidR="003F55B6">
        <w:t>und Industriebetrieben gleichen,  v</w:t>
      </w:r>
      <w:r w:rsidR="00751124">
        <w:t xml:space="preserve">on denen man </w:t>
      </w:r>
      <w:r w:rsidR="00A31327">
        <w:t xml:space="preserve">folglich </w:t>
      </w:r>
      <w:r w:rsidR="00751124">
        <w:t>annehmen sollte, dass sie - so wie Gewerbe und Industrie</w:t>
      </w:r>
      <w:r w:rsidR="00632F16">
        <w:t xml:space="preserve"> (</w:t>
      </w:r>
      <w:r w:rsidR="00EF17DE">
        <w:t xml:space="preserve">gem. </w:t>
      </w:r>
      <w:r w:rsidR="00632F16">
        <w:t xml:space="preserve">§§ 8 und 9 </w:t>
      </w:r>
      <w:r w:rsidR="00EF17DE">
        <w:t>der Baunutzungsverordnung (</w:t>
      </w:r>
      <w:proofErr w:type="spellStart"/>
      <w:r w:rsidR="00632F16">
        <w:t>BauNVO</w:t>
      </w:r>
      <w:proofErr w:type="spellEnd"/>
      <w:r w:rsidR="00EF17DE">
        <w:t>)</w:t>
      </w:r>
      <w:r w:rsidR="00632F16">
        <w:t xml:space="preserve">) </w:t>
      </w:r>
      <w:r w:rsidR="00751124">
        <w:t xml:space="preserve"> - der gemeindlichen Plan</w:t>
      </w:r>
      <w:r w:rsidR="007F2F05">
        <w:t>ungshoheit unterliegen sollten.</w:t>
      </w:r>
    </w:p>
    <w:p w:rsidR="00751124" w:rsidRDefault="00751124" w:rsidP="00DB20C4">
      <w:pPr>
        <w:jc w:val="both"/>
      </w:pPr>
    </w:p>
    <w:p w:rsidR="00751124" w:rsidRDefault="00751124" w:rsidP="00DB20C4">
      <w:pPr>
        <w:jc w:val="both"/>
      </w:pPr>
      <w:r>
        <w:t xml:space="preserve">Der Bundesgesetzgeber respektiert die Gemeinden </w:t>
      </w:r>
      <w:r w:rsidR="007F2F05">
        <w:t xml:space="preserve">lediglich </w:t>
      </w:r>
      <w:r>
        <w:t>mittelbar, indem er ihnen nach § 35 (3) BauGB einräumt, Pläne aufzustellen für entgegenstehende Nutzungen oder für die privilegierten Vorhaben selbst</w:t>
      </w:r>
      <w:r w:rsidR="009D73E6">
        <w:t>. Die bäuerlichen Betriebe sind davon jedoch ausgenommen.</w:t>
      </w:r>
      <w:r w:rsidR="00632F16">
        <w:t xml:space="preserve"> V</w:t>
      </w:r>
      <w:r w:rsidR="009D73E6">
        <w:t>on der Regulierung nach § 35 (3) BauGB</w:t>
      </w:r>
      <w:r w:rsidR="00632F16">
        <w:t xml:space="preserve"> wird</w:t>
      </w:r>
      <w:r w:rsidR="009D73E6">
        <w:t xml:space="preserve"> in der Praxis </w:t>
      </w:r>
      <w:r w:rsidR="00EF17DE">
        <w:t xml:space="preserve">leider </w:t>
      </w:r>
      <w:r w:rsidR="009D73E6">
        <w:t>nur wenig Gebrauch gemacht.</w:t>
      </w:r>
    </w:p>
    <w:p w:rsidR="009D73E6" w:rsidRDefault="009D73E6" w:rsidP="00DB20C4">
      <w:pPr>
        <w:jc w:val="both"/>
      </w:pPr>
    </w:p>
    <w:p w:rsidR="009D73E6" w:rsidRDefault="009D73E6" w:rsidP="00DB20C4">
      <w:pPr>
        <w:jc w:val="both"/>
      </w:pPr>
      <w:r>
        <w:t xml:space="preserve">Diese Konstruktion des § 35 führt zu Unfrieden in den Gemeinden. Die aus der Planungshoheit nötigen Abwägungen trifft die </w:t>
      </w:r>
      <w:r w:rsidR="003F55B6">
        <w:t xml:space="preserve">im staatlichen Auftrag tätige </w:t>
      </w:r>
      <w:r>
        <w:t xml:space="preserve">Genehmigungsbehörde, den Standort wählt der Vorhabenträger. Es wirkt das </w:t>
      </w:r>
      <w:proofErr w:type="spellStart"/>
      <w:r>
        <w:t>Windhundverfahren</w:t>
      </w:r>
      <w:proofErr w:type="spellEnd"/>
      <w:r>
        <w:t xml:space="preserve"> oder „Müllerprinzip“, das zu Zeiten des Sachsenspiegels rechtlich relevant sein durfte, heute aber als Element von Planun</w:t>
      </w:r>
      <w:r w:rsidR="00632F16">
        <w:t>g nicht mehr gelten sollte. Mit</w:t>
      </w:r>
      <w:r>
        <w:t xml:space="preserve"> dem Recht auf Zugriff in zeitlicher Reihenfolge nehmen sich die Landwirte untereinander </w:t>
      </w:r>
      <w:r w:rsidR="00632F16">
        <w:t xml:space="preserve">– speziell aufgrund der gebotenen Abstände zwischen Ställen - </w:t>
      </w:r>
      <w:r>
        <w:t xml:space="preserve">in unkoordinierter Weise Entwicklungsspielräume, Flächen werden suboptimal genutzt. Die Mandatsträger in den Gemeinderäten haben das achselzuckend hinzunehmen. </w:t>
      </w:r>
      <w:r w:rsidR="003F55B6">
        <w:t xml:space="preserve">Hier stehen das Grundrecht auf „Eigentum“ </w:t>
      </w:r>
      <w:r w:rsidR="003F55B6">
        <w:lastRenderedPageBreak/>
        <w:t>nach Art. 14 für die Landwirte und Art 28 (2), die Selbstverwaltungsgarantie für die Gemeinden, im Konflikt, vielleicht auch die Absätze 1 und 2 des Art. 14 GG.</w:t>
      </w:r>
    </w:p>
    <w:p w:rsidR="009D73E6" w:rsidRDefault="009D73E6" w:rsidP="00DB20C4">
      <w:pPr>
        <w:jc w:val="both"/>
      </w:pPr>
    </w:p>
    <w:p w:rsidR="009D73E6" w:rsidRDefault="009D73E6" w:rsidP="00DB20C4">
      <w:pPr>
        <w:jc w:val="both"/>
      </w:pPr>
      <w:r>
        <w:t xml:space="preserve">Es ist zu fragen, warum das in </w:t>
      </w:r>
      <w:r w:rsidR="00BF3861">
        <w:t xml:space="preserve">einer </w:t>
      </w:r>
      <w:r w:rsidR="007F2F05">
        <w:t>Zeit weiter so gilt</w:t>
      </w:r>
      <w:r>
        <w:t xml:space="preserve">, in der wir </w:t>
      </w:r>
      <w:r w:rsidR="00BF3861">
        <w:t xml:space="preserve">hohe Ansprüche an die sparsame und nachhaltige Flächennutzung stellen. Besteht hier ein stillschweigendes Übereinkommen zwischen dem Bundesgesetzgeber und Kommunalpolitikern, die sich aus den Entscheidungen vor Ort heraushalten möchten, weil sie Eingriffe in die wirtschaftliche Perspektive der ortsansässigen Landwirte bedeuten würden, </w:t>
      </w:r>
      <w:r w:rsidR="00DF3405">
        <w:t>denen</w:t>
      </w:r>
      <w:r w:rsidR="00BF3861">
        <w:t xml:space="preserve"> </w:t>
      </w:r>
      <w:r w:rsidR="00DF3405">
        <w:t xml:space="preserve">man sich </w:t>
      </w:r>
      <w:r w:rsidR="00BF3861">
        <w:t>vor Ort po</w:t>
      </w:r>
      <w:r w:rsidR="00DF3405">
        <w:t>litisch nicht aussetzen möchte</w:t>
      </w:r>
      <w:r w:rsidR="007F2F05">
        <w:t>? Darf sich Politik so ihrer Planungshoheit begeben?</w:t>
      </w:r>
    </w:p>
    <w:p w:rsidR="00BF3861" w:rsidRDefault="00BF3861" w:rsidP="00DB20C4">
      <w:pPr>
        <w:jc w:val="both"/>
      </w:pPr>
    </w:p>
    <w:p w:rsidR="00527E34" w:rsidRDefault="00BF3861" w:rsidP="00DB20C4">
      <w:pPr>
        <w:jc w:val="both"/>
      </w:pPr>
      <w:r>
        <w:t xml:space="preserve">§ 35 hat sich im Zeitablauf stark verändert. Sein Nutzungskatalog wurde </w:t>
      </w:r>
      <w:r w:rsidR="00A45CF5">
        <w:t xml:space="preserve">ständig erweitert und der Entwicklung der landschaftsbeanspruchenden Technologien angepasst, zuletzt </w:t>
      </w:r>
      <w:r>
        <w:t>im Bereich der erneuerbaren Energien.</w:t>
      </w:r>
      <w:r w:rsidR="00632F16">
        <w:t xml:space="preserve"> Eine Besonderheit stellen z</w:t>
      </w:r>
      <w:r>
        <w:t>u fördernde</w:t>
      </w:r>
      <w:r w:rsidR="00632F16">
        <w:t xml:space="preserve"> Solaranlagen dar.</w:t>
      </w:r>
      <w:r>
        <w:t xml:space="preserve"> </w:t>
      </w:r>
      <w:r w:rsidR="00632F16">
        <w:t>Sie werden</w:t>
      </w:r>
      <w:r>
        <w:t xml:space="preserve"> im EEG </w:t>
      </w:r>
      <w:r w:rsidR="00527E34">
        <w:t xml:space="preserve">(§ 51, 2014) </w:t>
      </w:r>
      <w:r w:rsidR="007F2F05">
        <w:t>unter Plan</w:t>
      </w:r>
      <w:r>
        <w:t xml:space="preserve">vorbehalt gestellt, der Gesetzgeber gibt </w:t>
      </w:r>
      <w:r w:rsidR="007F2F05">
        <w:t xml:space="preserve">zudem </w:t>
      </w:r>
      <w:r>
        <w:t>enge St</w:t>
      </w:r>
      <w:r w:rsidR="00DB59AF">
        <w:t>andortkriterien vor. Warum kommen</w:t>
      </w:r>
      <w:r w:rsidR="00BF3FEC">
        <w:t xml:space="preserve"> in diesen Fällen</w:t>
      </w:r>
      <w:r>
        <w:t xml:space="preserve"> die Gemeinde</w:t>
      </w:r>
      <w:r w:rsidR="007F2F05">
        <w:t>n</w:t>
      </w:r>
      <w:r>
        <w:t xml:space="preserve"> ins Spiel, </w:t>
      </w:r>
      <w:r w:rsidR="007F2F05">
        <w:t>während ihnen</w:t>
      </w:r>
      <w:r>
        <w:t xml:space="preserve"> eine vergleichbare Einflussnahme auf Betriebsgebäude de</w:t>
      </w:r>
      <w:r w:rsidR="007F2F05">
        <w:t>r Landwirtschaft versagt wird</w:t>
      </w:r>
      <w:r w:rsidR="00527E34">
        <w:t>? Den Bürgern ist das schwer zu erklären. Verstehen Kommunalpolitiker mehr von Photovoltaik als von Landwirtschaft?</w:t>
      </w:r>
    </w:p>
    <w:p w:rsidR="00527E34" w:rsidRDefault="00527E34" w:rsidP="00DB20C4">
      <w:pPr>
        <w:jc w:val="both"/>
      </w:pPr>
    </w:p>
    <w:p w:rsidR="00527E34" w:rsidRDefault="00527E34" w:rsidP="00DB20C4">
      <w:pPr>
        <w:jc w:val="both"/>
      </w:pPr>
      <w:r>
        <w:t>§ 35 BauGB fällt auch insofern aus der Systematik des Gesetzes, als er eine Reihe von Abwägungskriterien für die Zulässigkeit</w:t>
      </w:r>
      <w:r w:rsidR="00DB59AF">
        <w:t>s</w:t>
      </w:r>
      <w:r>
        <w:t>entscheidung unter Absatz 3 „Beeinträchtigung öffentlicher Belange“ aufführt, die</w:t>
      </w:r>
      <w:r w:rsidR="004220EA">
        <w:t xml:space="preserve"> überwiegend</w:t>
      </w:r>
      <w:r>
        <w:t xml:space="preserve"> </w:t>
      </w:r>
      <w:r w:rsidR="004220EA">
        <w:t>bereits in</w:t>
      </w:r>
      <w:r>
        <w:t xml:space="preserve"> </w:t>
      </w:r>
      <w:r w:rsidR="004220EA">
        <w:t>§ 1 (6) enthalten sind und ebenso für andere als die privilegierten Vorhaben gelten müss</w:t>
      </w:r>
      <w:r w:rsidR="00DB59AF">
        <w:t>t</w:t>
      </w:r>
      <w:r w:rsidR="004220EA">
        <w:t xml:space="preserve">en. Ähnliches gilt für </w:t>
      </w:r>
      <w:r w:rsidR="00DB59AF">
        <w:t xml:space="preserve">die Kriterien im </w:t>
      </w:r>
      <w:r w:rsidR="004220EA">
        <w:t xml:space="preserve">Absatz 5. </w:t>
      </w:r>
    </w:p>
    <w:p w:rsidR="004220EA" w:rsidRDefault="004220EA" w:rsidP="00DB20C4">
      <w:pPr>
        <w:jc w:val="both"/>
      </w:pPr>
    </w:p>
    <w:p w:rsidR="00527E34" w:rsidRDefault="00A45CF5" w:rsidP="00DB20C4">
      <w:pPr>
        <w:jc w:val="both"/>
      </w:pPr>
      <w:r>
        <w:t>Ungewöhnlich</w:t>
      </w:r>
      <w:r w:rsidR="00BF3FEC">
        <w:t xml:space="preserve"> filigran </w:t>
      </w:r>
      <w:r>
        <w:t xml:space="preserve">für ein Baugesetzbuch </w:t>
      </w:r>
      <w:r w:rsidR="00BF3FEC">
        <w:t xml:space="preserve">kommen die Regelungen des § 35 (4) BauGB daher, wo es um Freistellungen </w:t>
      </w:r>
      <w:r>
        <w:t xml:space="preserve">und Teilprivilegierungen </w:t>
      </w:r>
      <w:r w:rsidR="00BF3FEC">
        <w:t xml:space="preserve">geht. </w:t>
      </w:r>
      <w:r>
        <w:t xml:space="preserve">Hier werden Einzelregelungen zu Tatbeständen von Änderung, Umnutzung und Wiedererrichtung von Gebäuden </w:t>
      </w:r>
      <w:r w:rsidR="00392B74">
        <w:t xml:space="preserve">von Landwirten </w:t>
      </w:r>
      <w:r>
        <w:t xml:space="preserve">getroffen, die auf Bundesebene </w:t>
      </w:r>
      <w:r w:rsidR="003F55B6">
        <w:t xml:space="preserve">kaum </w:t>
      </w:r>
      <w:r>
        <w:t xml:space="preserve">angemessen zu beurteilen sind. Die Verhältnisse dürften stark unterschiedlich sein zwischen touristisch bedeutsamen historischen Landschaften wie dem Allgäu </w:t>
      </w:r>
      <w:r w:rsidR="00392B74">
        <w:t>und großstrukturierten Landschaften</w:t>
      </w:r>
      <w:r>
        <w:t xml:space="preserve"> im Gebiet ehemaliger LPGs. Hier bieten sich regionale Vorgaben und lokale Gestaltungssatzungen</w:t>
      </w:r>
      <w:r w:rsidR="0030366F">
        <w:t xml:space="preserve"> eher zur angepassten Problemlös</w:t>
      </w:r>
      <w:r>
        <w:t xml:space="preserve">ung an. Für baukörperbezogene Regulierungen und </w:t>
      </w:r>
      <w:r w:rsidR="0030366F">
        <w:t xml:space="preserve">Fragen der Zulässigkeit von </w:t>
      </w:r>
      <w:proofErr w:type="spellStart"/>
      <w:r w:rsidR="003F55B6">
        <w:t>Minimalia</w:t>
      </w:r>
      <w:proofErr w:type="spellEnd"/>
      <w:r w:rsidR="003F55B6">
        <w:t xml:space="preserve"> (</w:t>
      </w:r>
      <w:r w:rsidR="0030366F">
        <w:t xml:space="preserve">Schutzhütten, Haltestellen, Umspannhäuschen </w:t>
      </w:r>
      <w:proofErr w:type="spellStart"/>
      <w:r w:rsidR="0030366F">
        <w:t>u.ä.</w:t>
      </w:r>
      <w:proofErr w:type="spellEnd"/>
      <w:r w:rsidR="003F55B6">
        <w:t>)</w:t>
      </w:r>
      <w:r w:rsidR="0030366F">
        <w:t xml:space="preserve"> stehen ohnehin die Bauordnungen der Länder zur Verfügung.</w:t>
      </w:r>
    </w:p>
    <w:p w:rsidR="00A45CF5" w:rsidRDefault="00A45CF5" w:rsidP="00DB20C4">
      <w:pPr>
        <w:jc w:val="both"/>
      </w:pPr>
    </w:p>
    <w:p w:rsidR="00BF3861" w:rsidRDefault="00A45CF5" w:rsidP="00DB20C4">
      <w:pPr>
        <w:jc w:val="both"/>
      </w:pPr>
      <w:r>
        <w:t xml:space="preserve">Die genannten Argumente </w:t>
      </w:r>
      <w:r w:rsidR="003F55B6">
        <w:t>belegen</w:t>
      </w:r>
      <w:r>
        <w:t xml:space="preserve"> eine ungewöhnliche und rechtssystematisch unzweckmäßige Ballung von Regelungen für die Landwirtschaft </w:t>
      </w:r>
      <w:r w:rsidR="003F55B6">
        <w:t>in § 35. Er ist</w:t>
      </w:r>
      <w:r w:rsidR="0030366F">
        <w:t xml:space="preserve"> Klientelparagraf </w:t>
      </w:r>
      <w:r w:rsidR="003F55B6">
        <w:t>in einem allgemeinen Baugesetz</w:t>
      </w:r>
      <w:r w:rsidR="0030366F">
        <w:t xml:space="preserve">. Es kommt zu inhaltlichen Überschneidungen mit Fachgesetzen und </w:t>
      </w:r>
      <w:r w:rsidR="003F55B6">
        <w:t>Planungsrecht anderer Ebenen sowie</w:t>
      </w:r>
      <w:r w:rsidR="0030366F">
        <w:t xml:space="preserve"> Bauordnungsrecht. § 35 gehört nach Auffassung des Autors deshalb umfassend auf den Prüfstand. Seine schützende Funktion, mit der er vor der Entwicklung von anderen Instrumenten – insbesondere im Naturschutzrecht  - den Außenbereich vor Zersiedlung bewahrt hat, ist dabei zu erhalten. Dies gehört aber vor die Klammer, z.B. in § 1 des BauGB. Andere ggf. nötige Begrenzungen der baulichen Entfaltung der Gemeinden wären als gebietsspezifische Vorgaben der überörtlichen Raumplanung zu gestalten.</w:t>
      </w:r>
      <w:r w:rsidR="003F55B6">
        <w:t xml:space="preserve"> Die Begründung von Vorrängen für die Landwirtschaft gegenüber anderen Wirtschaftszweigen wäre, soweit das unter der Ausgestaltung der EU-Agrarpolitik nötig ist, im Landwirtschaftsgesetz zu regeln. </w:t>
      </w:r>
    </w:p>
    <w:p w:rsidR="003F55B6" w:rsidRDefault="003F55B6" w:rsidP="00DB20C4">
      <w:pPr>
        <w:jc w:val="both"/>
      </w:pPr>
    </w:p>
    <w:p w:rsidR="003F55B6" w:rsidRDefault="003F55B6" w:rsidP="00DB20C4">
      <w:pPr>
        <w:jc w:val="both"/>
      </w:pPr>
      <w:r>
        <w:t>Die Fülle der aufgeworfenen Fragen lassen eine Vortragsveranstaltung der ARL – vor allem losgelöst von konkreten Gesetzgebungsaktivitäten -  als sinnvoll erscheinen.</w:t>
      </w:r>
      <w:r w:rsidR="00392B74">
        <w:t xml:space="preserve"> Diese wird voraussichtlich im 1. Halbjahr 2016 stattfinden.</w:t>
      </w:r>
    </w:p>
    <w:sectPr w:rsidR="003F55B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0DF" w:rsidRDefault="002370DF" w:rsidP="00EC0A57">
      <w:pPr>
        <w:spacing w:line="240" w:lineRule="auto"/>
      </w:pPr>
      <w:r>
        <w:separator/>
      </w:r>
    </w:p>
  </w:endnote>
  <w:endnote w:type="continuationSeparator" w:id="0">
    <w:p w:rsidR="002370DF" w:rsidRDefault="002370DF" w:rsidP="00EC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0DF" w:rsidRDefault="002370DF" w:rsidP="00EC0A57">
      <w:pPr>
        <w:spacing w:line="240" w:lineRule="auto"/>
      </w:pPr>
      <w:r>
        <w:separator/>
      </w:r>
    </w:p>
  </w:footnote>
  <w:footnote w:type="continuationSeparator" w:id="0">
    <w:p w:rsidR="002370DF" w:rsidRDefault="002370DF" w:rsidP="00EC0A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742"/>
      <w:docPartObj>
        <w:docPartGallery w:val="Page Numbers (Top of Page)"/>
        <w:docPartUnique/>
      </w:docPartObj>
    </w:sdtPr>
    <w:sdtEndPr/>
    <w:sdtContent>
      <w:p w:rsidR="00EC0A57" w:rsidRDefault="00EC0A57">
        <w:pPr>
          <w:pStyle w:val="Kopfzeile"/>
          <w:jc w:val="center"/>
        </w:pPr>
        <w:r>
          <w:fldChar w:fldCharType="begin"/>
        </w:r>
        <w:r>
          <w:instrText>PAGE   \* MERGEFORMAT</w:instrText>
        </w:r>
        <w:r>
          <w:fldChar w:fldCharType="separate"/>
        </w:r>
        <w:r w:rsidR="00DB20C4">
          <w:rPr>
            <w:noProof/>
          </w:rPr>
          <w:t>2</w:t>
        </w:r>
        <w:r>
          <w:fldChar w:fldCharType="end"/>
        </w:r>
      </w:p>
    </w:sdtContent>
  </w:sdt>
  <w:p w:rsidR="00EC0A57" w:rsidRDefault="00EC0A5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47CA3"/>
    <w:multiLevelType w:val="multilevel"/>
    <w:tmpl w:val="0D6685E8"/>
    <w:lvl w:ilvl="0">
      <w:start w:val="1"/>
      <w:numFmt w:val="decimal"/>
      <w:lvlText w:val="%1."/>
      <w:lvlJc w:val="left"/>
      <w:pPr>
        <w:ind w:left="1080" w:hanging="360"/>
      </w:pPr>
      <w:rPr>
        <w:rFonts w:asciiTheme="majorHAnsi" w:eastAsiaTheme="majorEastAsia" w:hAnsiTheme="majorHAnsi" w:cstheme="majorBidi"/>
      </w:rPr>
    </w:lvl>
    <w:lvl w:ilvl="1">
      <w:start w:val="1"/>
      <w:numFmt w:val="decimal"/>
      <w:pStyle w:val="berschrift3"/>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58E20FF2"/>
    <w:multiLevelType w:val="hybridMultilevel"/>
    <w:tmpl w:val="E53A817C"/>
    <w:lvl w:ilvl="0" w:tplc="CAFA504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5D8606F"/>
    <w:multiLevelType w:val="hybridMultilevel"/>
    <w:tmpl w:val="81DAFC7C"/>
    <w:lvl w:ilvl="0" w:tplc="A5D085F6">
      <w:start w:val="1"/>
      <w:numFmt w:val="decimal"/>
      <w:pStyle w:val="berschrift2"/>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2"/>
  </w:num>
  <w:num w:numId="4">
    <w:abstractNumId w:val="2"/>
  </w:num>
  <w:num w:numId="5">
    <w:abstractNumId w:val="0"/>
  </w:num>
  <w:num w:numId="6">
    <w:abstractNumId w:val="0"/>
  </w:num>
  <w:num w:numId="7">
    <w:abstractNumId w:val="0"/>
  </w:num>
  <w:num w:numId="8">
    <w:abstractNumId w:val="0"/>
  </w:num>
  <w:num w:numId="9">
    <w:abstractNumId w:val="2"/>
  </w:num>
  <w:num w:numId="10">
    <w:abstractNumId w:val="2"/>
  </w:num>
  <w:num w:numId="11">
    <w:abstractNumId w:val="2"/>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EE5"/>
    <w:rsid w:val="0005505E"/>
    <w:rsid w:val="00075B8E"/>
    <w:rsid w:val="00083976"/>
    <w:rsid w:val="000E12F5"/>
    <w:rsid w:val="00142805"/>
    <w:rsid w:val="002370DF"/>
    <w:rsid w:val="002C6697"/>
    <w:rsid w:val="0030366F"/>
    <w:rsid w:val="00345A57"/>
    <w:rsid w:val="00392B74"/>
    <w:rsid w:val="003E5E4B"/>
    <w:rsid w:val="003F55B6"/>
    <w:rsid w:val="004220EA"/>
    <w:rsid w:val="00474FCE"/>
    <w:rsid w:val="00527E34"/>
    <w:rsid w:val="005A69C0"/>
    <w:rsid w:val="00632F16"/>
    <w:rsid w:val="00751124"/>
    <w:rsid w:val="00755EE5"/>
    <w:rsid w:val="007F2F05"/>
    <w:rsid w:val="009D73E6"/>
    <w:rsid w:val="00A31327"/>
    <w:rsid w:val="00A45CF5"/>
    <w:rsid w:val="00BF3861"/>
    <w:rsid w:val="00BF3FEC"/>
    <w:rsid w:val="00C62EA8"/>
    <w:rsid w:val="00D00F30"/>
    <w:rsid w:val="00D12895"/>
    <w:rsid w:val="00DB20C4"/>
    <w:rsid w:val="00DB59AF"/>
    <w:rsid w:val="00DF3405"/>
    <w:rsid w:val="00EC0A57"/>
    <w:rsid w:val="00EF17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550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berschrift1"/>
    <w:link w:val="berschrift2Zchn"/>
    <w:autoRedefine/>
    <w:uiPriority w:val="9"/>
    <w:unhideWhenUsed/>
    <w:qFormat/>
    <w:rsid w:val="0005505E"/>
    <w:pPr>
      <w:numPr>
        <w:numId w:val="9"/>
      </w:numPr>
      <w:spacing w:line="240" w:lineRule="auto"/>
      <w:ind w:left="0" w:firstLine="0"/>
      <w:outlineLvl w:val="1"/>
    </w:pPr>
    <w:rPr>
      <w:bCs w:val="0"/>
      <w:color w:val="000000" w:themeColor="text1"/>
      <w:sz w:val="26"/>
      <w:szCs w:val="26"/>
    </w:rPr>
  </w:style>
  <w:style w:type="paragraph" w:styleId="berschrift3">
    <w:name w:val="heading 3"/>
    <w:basedOn w:val="berschrift4"/>
    <w:next w:val="berschrift4"/>
    <w:link w:val="berschrift3Zchn"/>
    <w:uiPriority w:val="9"/>
    <w:unhideWhenUsed/>
    <w:qFormat/>
    <w:rsid w:val="003E5E4B"/>
    <w:pPr>
      <w:numPr>
        <w:ilvl w:val="1"/>
        <w:numId w:val="12"/>
      </w:numPr>
      <w:spacing w:before="120"/>
      <w:ind w:left="357" w:hanging="357"/>
      <w:outlineLvl w:val="2"/>
    </w:pPr>
    <w:rPr>
      <w:b w:val="0"/>
      <w:bCs w:val="0"/>
      <w:color w:val="000000" w:themeColor="text1"/>
    </w:rPr>
  </w:style>
  <w:style w:type="paragraph" w:styleId="berschrift4">
    <w:name w:val="heading 4"/>
    <w:basedOn w:val="Standard"/>
    <w:next w:val="Standard"/>
    <w:link w:val="berschrift4Zchn"/>
    <w:uiPriority w:val="9"/>
    <w:semiHidden/>
    <w:unhideWhenUsed/>
    <w:qFormat/>
    <w:rsid w:val="000550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5505E"/>
    <w:rPr>
      <w:rFonts w:asciiTheme="majorHAnsi" w:eastAsiaTheme="majorEastAsia" w:hAnsiTheme="majorHAnsi" w:cstheme="majorBidi"/>
      <w:b/>
      <w:color w:val="000000" w:themeColor="text1"/>
      <w:sz w:val="26"/>
      <w:szCs w:val="26"/>
    </w:rPr>
  </w:style>
  <w:style w:type="character" w:customStyle="1" w:styleId="berschrift3Zchn">
    <w:name w:val="Überschrift 3 Zchn"/>
    <w:basedOn w:val="Absatz-Standardschriftart"/>
    <w:link w:val="berschrift3"/>
    <w:uiPriority w:val="9"/>
    <w:rsid w:val="003E5E4B"/>
    <w:rPr>
      <w:rFonts w:asciiTheme="majorHAnsi" w:eastAsiaTheme="majorEastAsia" w:hAnsiTheme="majorHAnsi" w:cstheme="majorBidi"/>
      <w:i/>
      <w:iCs/>
      <w:color w:val="000000" w:themeColor="text1"/>
    </w:rPr>
  </w:style>
  <w:style w:type="character" w:customStyle="1" w:styleId="berschrift1Zchn">
    <w:name w:val="Überschrift 1 Zchn"/>
    <w:basedOn w:val="Absatz-Standardschriftart"/>
    <w:link w:val="berschrift1"/>
    <w:uiPriority w:val="9"/>
    <w:rsid w:val="0005505E"/>
    <w:rPr>
      <w:rFonts w:asciiTheme="majorHAnsi" w:eastAsiaTheme="majorEastAsia" w:hAnsiTheme="majorHAnsi" w:cstheme="majorBidi"/>
      <w:b/>
      <w:bCs/>
      <w:color w:val="365F91" w:themeColor="accent1" w:themeShade="BF"/>
      <w:sz w:val="28"/>
      <w:szCs w:val="28"/>
    </w:rPr>
  </w:style>
  <w:style w:type="character" w:customStyle="1" w:styleId="berschrift4Zchn">
    <w:name w:val="Überschrift 4 Zchn"/>
    <w:basedOn w:val="Absatz-Standardschriftart"/>
    <w:link w:val="berschrift4"/>
    <w:uiPriority w:val="9"/>
    <w:semiHidden/>
    <w:rsid w:val="0005505E"/>
    <w:rPr>
      <w:rFonts w:asciiTheme="majorHAnsi" w:eastAsiaTheme="majorEastAsia" w:hAnsiTheme="majorHAnsi" w:cstheme="majorBidi"/>
      <w:b/>
      <w:bCs/>
      <w:i/>
      <w:iCs/>
      <w:color w:val="4F81BD" w:themeColor="accent1"/>
    </w:rPr>
  </w:style>
  <w:style w:type="paragraph" w:styleId="Sprechblasentext">
    <w:name w:val="Balloon Text"/>
    <w:basedOn w:val="Standard"/>
    <w:link w:val="SprechblasentextZchn"/>
    <w:uiPriority w:val="99"/>
    <w:semiHidden/>
    <w:unhideWhenUsed/>
    <w:rsid w:val="00BF3FE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3FEC"/>
    <w:rPr>
      <w:rFonts w:ascii="Tahoma" w:hAnsi="Tahoma" w:cs="Tahoma"/>
      <w:sz w:val="16"/>
      <w:szCs w:val="16"/>
    </w:rPr>
  </w:style>
  <w:style w:type="paragraph" w:styleId="Kopfzeile">
    <w:name w:val="header"/>
    <w:basedOn w:val="Standard"/>
    <w:link w:val="KopfzeileZchn"/>
    <w:uiPriority w:val="99"/>
    <w:unhideWhenUsed/>
    <w:rsid w:val="00EC0A5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C0A57"/>
  </w:style>
  <w:style w:type="paragraph" w:styleId="Fuzeile">
    <w:name w:val="footer"/>
    <w:basedOn w:val="Standard"/>
    <w:link w:val="FuzeileZchn"/>
    <w:uiPriority w:val="99"/>
    <w:unhideWhenUsed/>
    <w:rsid w:val="00EC0A5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C0A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550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berschrift1"/>
    <w:link w:val="berschrift2Zchn"/>
    <w:autoRedefine/>
    <w:uiPriority w:val="9"/>
    <w:unhideWhenUsed/>
    <w:qFormat/>
    <w:rsid w:val="0005505E"/>
    <w:pPr>
      <w:numPr>
        <w:numId w:val="9"/>
      </w:numPr>
      <w:spacing w:line="240" w:lineRule="auto"/>
      <w:ind w:left="0" w:firstLine="0"/>
      <w:outlineLvl w:val="1"/>
    </w:pPr>
    <w:rPr>
      <w:bCs w:val="0"/>
      <w:color w:val="000000" w:themeColor="text1"/>
      <w:sz w:val="26"/>
      <w:szCs w:val="26"/>
    </w:rPr>
  </w:style>
  <w:style w:type="paragraph" w:styleId="berschrift3">
    <w:name w:val="heading 3"/>
    <w:basedOn w:val="berschrift4"/>
    <w:next w:val="berschrift4"/>
    <w:link w:val="berschrift3Zchn"/>
    <w:uiPriority w:val="9"/>
    <w:unhideWhenUsed/>
    <w:qFormat/>
    <w:rsid w:val="003E5E4B"/>
    <w:pPr>
      <w:numPr>
        <w:ilvl w:val="1"/>
        <w:numId w:val="12"/>
      </w:numPr>
      <w:spacing w:before="120"/>
      <w:ind w:left="357" w:hanging="357"/>
      <w:outlineLvl w:val="2"/>
    </w:pPr>
    <w:rPr>
      <w:b w:val="0"/>
      <w:bCs w:val="0"/>
      <w:color w:val="000000" w:themeColor="text1"/>
    </w:rPr>
  </w:style>
  <w:style w:type="paragraph" w:styleId="berschrift4">
    <w:name w:val="heading 4"/>
    <w:basedOn w:val="Standard"/>
    <w:next w:val="Standard"/>
    <w:link w:val="berschrift4Zchn"/>
    <w:uiPriority w:val="9"/>
    <w:semiHidden/>
    <w:unhideWhenUsed/>
    <w:qFormat/>
    <w:rsid w:val="000550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5505E"/>
    <w:rPr>
      <w:rFonts w:asciiTheme="majorHAnsi" w:eastAsiaTheme="majorEastAsia" w:hAnsiTheme="majorHAnsi" w:cstheme="majorBidi"/>
      <w:b/>
      <w:color w:val="000000" w:themeColor="text1"/>
      <w:sz w:val="26"/>
      <w:szCs w:val="26"/>
    </w:rPr>
  </w:style>
  <w:style w:type="character" w:customStyle="1" w:styleId="berschrift3Zchn">
    <w:name w:val="Überschrift 3 Zchn"/>
    <w:basedOn w:val="Absatz-Standardschriftart"/>
    <w:link w:val="berschrift3"/>
    <w:uiPriority w:val="9"/>
    <w:rsid w:val="003E5E4B"/>
    <w:rPr>
      <w:rFonts w:asciiTheme="majorHAnsi" w:eastAsiaTheme="majorEastAsia" w:hAnsiTheme="majorHAnsi" w:cstheme="majorBidi"/>
      <w:i/>
      <w:iCs/>
      <w:color w:val="000000" w:themeColor="text1"/>
    </w:rPr>
  </w:style>
  <w:style w:type="character" w:customStyle="1" w:styleId="berschrift1Zchn">
    <w:name w:val="Überschrift 1 Zchn"/>
    <w:basedOn w:val="Absatz-Standardschriftart"/>
    <w:link w:val="berschrift1"/>
    <w:uiPriority w:val="9"/>
    <w:rsid w:val="0005505E"/>
    <w:rPr>
      <w:rFonts w:asciiTheme="majorHAnsi" w:eastAsiaTheme="majorEastAsia" w:hAnsiTheme="majorHAnsi" w:cstheme="majorBidi"/>
      <w:b/>
      <w:bCs/>
      <w:color w:val="365F91" w:themeColor="accent1" w:themeShade="BF"/>
      <w:sz w:val="28"/>
      <w:szCs w:val="28"/>
    </w:rPr>
  </w:style>
  <w:style w:type="character" w:customStyle="1" w:styleId="berschrift4Zchn">
    <w:name w:val="Überschrift 4 Zchn"/>
    <w:basedOn w:val="Absatz-Standardschriftart"/>
    <w:link w:val="berschrift4"/>
    <w:uiPriority w:val="9"/>
    <w:semiHidden/>
    <w:rsid w:val="0005505E"/>
    <w:rPr>
      <w:rFonts w:asciiTheme="majorHAnsi" w:eastAsiaTheme="majorEastAsia" w:hAnsiTheme="majorHAnsi" w:cstheme="majorBidi"/>
      <w:b/>
      <w:bCs/>
      <w:i/>
      <w:iCs/>
      <w:color w:val="4F81BD" w:themeColor="accent1"/>
    </w:rPr>
  </w:style>
  <w:style w:type="paragraph" w:styleId="Sprechblasentext">
    <w:name w:val="Balloon Text"/>
    <w:basedOn w:val="Standard"/>
    <w:link w:val="SprechblasentextZchn"/>
    <w:uiPriority w:val="99"/>
    <w:semiHidden/>
    <w:unhideWhenUsed/>
    <w:rsid w:val="00BF3FE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3FEC"/>
    <w:rPr>
      <w:rFonts w:ascii="Tahoma" w:hAnsi="Tahoma" w:cs="Tahoma"/>
      <w:sz w:val="16"/>
      <w:szCs w:val="16"/>
    </w:rPr>
  </w:style>
  <w:style w:type="paragraph" w:styleId="Kopfzeile">
    <w:name w:val="header"/>
    <w:basedOn w:val="Standard"/>
    <w:link w:val="KopfzeileZchn"/>
    <w:uiPriority w:val="99"/>
    <w:unhideWhenUsed/>
    <w:rsid w:val="00EC0A5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C0A57"/>
  </w:style>
  <w:style w:type="paragraph" w:styleId="Fuzeile">
    <w:name w:val="footer"/>
    <w:basedOn w:val="Standard"/>
    <w:link w:val="FuzeileZchn"/>
    <w:uiPriority w:val="99"/>
    <w:unhideWhenUsed/>
    <w:rsid w:val="00EC0A5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C0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1386</Words>
  <Characters>8734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dc:creator>
  <cp:lastModifiedBy>Grote</cp:lastModifiedBy>
  <cp:revision>3</cp:revision>
  <cp:lastPrinted>2015-06-03T17:11:00Z</cp:lastPrinted>
  <dcterms:created xsi:type="dcterms:W3CDTF">2015-06-07T20:17:00Z</dcterms:created>
  <dcterms:modified xsi:type="dcterms:W3CDTF">2015-06-09T07:30:00Z</dcterms:modified>
</cp:coreProperties>
</file>