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C8" w:rsidRPr="00AF0291" w:rsidRDefault="00CB59C8">
      <w:pPr>
        <w:spacing w:before="43" w:after="258" w:line="287" w:lineRule="exact"/>
        <w:rPr>
          <w:lang w:val="de-DE"/>
        </w:rPr>
        <w:sectPr w:rsidR="00CB59C8" w:rsidRPr="00AF0291">
          <w:pgSz w:w="11904" w:h="16843"/>
          <w:pgMar w:top="1240" w:right="3000" w:bottom="847" w:left="3144" w:header="720" w:footer="720" w:gutter="0"/>
          <w:cols w:space="720"/>
        </w:sectPr>
      </w:pPr>
    </w:p>
    <w:p w:rsidR="00CB59C8" w:rsidRDefault="00E4440D" w:rsidP="00AF0291">
      <w:pPr>
        <w:tabs>
          <w:tab w:val="left" w:pos="360"/>
        </w:tabs>
        <w:spacing w:before="33" w:line="230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3"/>
          <w:sz w:val="23"/>
          <w:lang w:val="de-DE"/>
        </w:rPr>
        <w:t>Titel des Projekts</w:t>
      </w:r>
    </w:p>
    <w:p w:rsidR="00CB59C8" w:rsidRDefault="00E4440D">
      <w:pPr>
        <w:spacing w:before="80" w:line="227" w:lineRule="exact"/>
        <w:ind w:left="360"/>
        <w:textAlignment w:val="baseline"/>
        <w:rPr>
          <w:rFonts w:ascii="Calibri" w:eastAsia="Calibri" w:hAnsi="Calibri"/>
          <w:color w:val="000000"/>
          <w:spacing w:val="-3"/>
          <w:lang w:val="de-DE"/>
        </w:rPr>
      </w:pPr>
      <w:r>
        <w:rPr>
          <w:rFonts w:ascii="Calibri" w:eastAsia="Calibri" w:hAnsi="Calibri"/>
          <w:color w:val="000000"/>
          <w:spacing w:val="-3"/>
          <w:lang w:val="de-DE"/>
        </w:rPr>
        <w:t>Die Rolle von pro-inflammatorischen CD20</w:t>
      </w:r>
      <w:r>
        <w:rPr>
          <w:rFonts w:ascii="Calibri" w:eastAsia="Calibri" w:hAnsi="Calibri"/>
          <w:color w:val="000000"/>
          <w:spacing w:val="-3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3"/>
          <w:lang w:val="de-DE"/>
        </w:rPr>
        <w:t xml:space="preserve"> T-Zellen für die Progression der Multiplen Sklerose</w:t>
      </w:r>
    </w:p>
    <w:p w:rsidR="00CB59C8" w:rsidRDefault="00E4440D">
      <w:pPr>
        <w:spacing w:before="79" w:line="228" w:lineRule="exact"/>
        <w:ind w:left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während der systemischen, langfristigen CD20</w:t>
      </w:r>
      <w:r>
        <w:rPr>
          <w:rFonts w:ascii="Calibri" w:eastAsia="Calibri" w:hAnsi="Calibri"/>
          <w:color w:val="000000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lang w:val="de-DE"/>
        </w:rPr>
        <w:t xml:space="preserve"> B-Zell-</w:t>
      </w:r>
      <w:proofErr w:type="spellStart"/>
      <w:r>
        <w:rPr>
          <w:rFonts w:ascii="Calibri" w:eastAsia="Calibri" w:hAnsi="Calibri"/>
          <w:color w:val="000000"/>
          <w:lang w:val="de-DE"/>
        </w:rPr>
        <w:t>Depletionstherapie</w:t>
      </w:r>
      <w:proofErr w:type="spellEnd"/>
    </w:p>
    <w:p w:rsidR="00E4440D" w:rsidRDefault="00E4440D" w:rsidP="00AF0291">
      <w:pPr>
        <w:tabs>
          <w:tab w:val="left" w:pos="360"/>
        </w:tabs>
        <w:spacing w:before="194" w:after="57" w:line="229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lang w:val="de-DE"/>
        </w:rPr>
      </w:pPr>
    </w:p>
    <w:p w:rsidR="00CB59C8" w:rsidRDefault="00E4440D" w:rsidP="00AF0291">
      <w:pPr>
        <w:tabs>
          <w:tab w:val="left" w:pos="360"/>
        </w:tabs>
        <w:spacing w:before="194" w:after="57" w:line="229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lang w:val="de-DE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pacing w:val="-3"/>
          <w:sz w:val="23"/>
          <w:lang w:val="de-DE"/>
        </w:rPr>
        <w:t>Antragstellende</w:t>
      </w:r>
    </w:p>
    <w:p w:rsidR="00AF0291" w:rsidRPr="00AF0291" w:rsidRDefault="00AF0291" w:rsidP="00E4440D">
      <w:pPr>
        <w:spacing w:line="248" w:lineRule="exact"/>
        <w:textAlignment w:val="baseline"/>
        <w:rPr>
          <w:rFonts w:ascii="Calibri" w:eastAsia="Calibri" w:hAnsi="Calibri"/>
          <w:color w:val="000000"/>
          <w:sz w:val="21"/>
          <w:u w:val="single"/>
          <w:lang w:val="de-DE"/>
        </w:rPr>
        <w:sectPr w:rsidR="00AF0291" w:rsidRPr="00AF0291">
          <w:type w:val="continuous"/>
          <w:pgSz w:w="11904" w:h="16843"/>
          <w:pgMar w:top="1240" w:right="1408" w:bottom="847" w:left="1776" w:header="720" w:footer="720" w:gutter="0"/>
          <w:cols w:space="720"/>
        </w:sectPr>
      </w:pPr>
      <w:r>
        <w:rPr>
          <w:rFonts w:ascii="Calibri" w:eastAsia="Calibri" w:hAnsi="Calibri"/>
          <w:color w:val="000000"/>
          <w:lang w:val="de-DE"/>
        </w:rPr>
        <w:t>Karsten Witt</w:t>
      </w:r>
      <w:r>
        <w:rPr>
          <w:rFonts w:ascii="Calibri" w:eastAsia="Calibri" w:hAnsi="Calibri"/>
          <w:color w:val="000000"/>
          <w:lang w:val="de-DE"/>
        </w:rPr>
        <w:t xml:space="preserve">, </w:t>
      </w:r>
      <w:r>
        <w:rPr>
          <w:rFonts w:ascii="Calibri" w:eastAsia="Calibri" w:hAnsi="Calibri"/>
          <w:color w:val="000000"/>
          <w:lang w:val="de-DE"/>
        </w:rPr>
        <w:t>Kaweh Pars</w:t>
      </w:r>
      <w:r w:rsidRPr="00AF0291">
        <w:rPr>
          <w:rFonts w:ascii="Calibri" w:eastAsia="Calibri" w:hAnsi="Calibri"/>
          <w:color w:val="000000"/>
          <w:sz w:val="21"/>
          <w:lang w:val="de-DE"/>
        </w:rPr>
        <w:t xml:space="preserve">, </w:t>
      </w:r>
      <w:r>
        <w:rPr>
          <w:rFonts w:ascii="Calibri" w:eastAsia="Calibri" w:hAnsi="Calibri"/>
          <w:color w:val="000000"/>
          <w:lang w:val="de-DE"/>
        </w:rPr>
        <w:t>Karin Loser</w:t>
      </w:r>
    </w:p>
    <w:p w:rsidR="00E4440D" w:rsidRDefault="00E4440D" w:rsidP="00AF0291">
      <w:pPr>
        <w:tabs>
          <w:tab w:val="left" w:pos="360"/>
        </w:tabs>
        <w:spacing w:before="195" w:line="229" w:lineRule="exact"/>
        <w:textAlignment w:val="baseline"/>
        <w:rPr>
          <w:lang w:val="de-DE"/>
        </w:rPr>
      </w:pPr>
    </w:p>
    <w:p w:rsidR="00CB59C8" w:rsidRDefault="00E4440D" w:rsidP="00AF0291">
      <w:pPr>
        <w:tabs>
          <w:tab w:val="left" w:pos="360"/>
        </w:tabs>
        <w:spacing w:before="195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4"/>
          <w:sz w:val="23"/>
          <w:lang w:val="de-DE"/>
        </w:rPr>
        <w:t>Zusammenfassung des Projekts</w:t>
      </w:r>
    </w:p>
    <w:p w:rsidR="00CB59C8" w:rsidRDefault="00E4440D">
      <w:pPr>
        <w:spacing w:before="22" w:line="308" w:lineRule="exact"/>
        <w:ind w:left="360"/>
        <w:jc w:val="both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Die Multiple Sklerose (MS) ist eine chronische, autoimmun-entzündliche des zentralen Nervensystems (ZNS), wobei sowohl die Myelinscheide als auch die Nerven selbst durch das Immunsystem zerstört werden. Pathophysiologisch galt die MS lange als eine T-Zell-</w:t>
      </w:r>
      <w:r>
        <w:rPr>
          <w:rFonts w:ascii="Calibri" w:eastAsia="Calibri" w:hAnsi="Calibri"/>
          <w:color w:val="000000"/>
          <w:spacing w:val="-1"/>
          <w:lang w:val="de-DE"/>
        </w:rPr>
        <w:t>vermittelte Erkrankung. Neuere Forschungsarbeiten legten jedoch eine zentrale Rolle von B-Zellen während der Entstehung und Progression der MS nahe, da aktivierte B-Zellen sowohl im peripheren Blut als auch im Liquor von Betroffenen nachgewiesen wurden und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sich Antikörper in ZNS-Läsionen detektieren ließen. Dementsprechend führte die Depletion von B-Zellen durch eine monoklonale Antikörpertherapie (anti-CD20; Rituximab,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Ocrelizumab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 xml:space="preserve"> oder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Ofatumumab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>) zur Reduktion der ZNS-Läsionen und Frequenz von Schüben. CD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20 ist ein Oberflächenrezeptor auf B-Zellen und die Bindung der verabreichten Antikörper an diesen Rezeptor leitet das Absterben der B-Zellen ein. Die Wirkung dieses Therapiekonzepts bei der MS wird dadurch erklärt, dass fehlende B-Zellen weder durch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Zytok</w:t>
      </w:r>
      <w:r>
        <w:rPr>
          <w:rFonts w:ascii="Calibri" w:eastAsia="Calibri" w:hAnsi="Calibri"/>
          <w:color w:val="000000"/>
          <w:spacing w:val="-1"/>
          <w:lang w:val="de-DE"/>
        </w:rPr>
        <w:t>insekretion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 xml:space="preserve"> noch als Antigen-präsentierende Zellen autoreaktive T-Zellen aktivieren können und zudem keine Antikörper produziert werden, die sich in ZNS-Läsionen ablagern könnten. Allerdings exprimieren nicht nur B-Zellen CD20, sondern eine insbesondere be</w:t>
      </w:r>
      <w:r>
        <w:rPr>
          <w:rFonts w:ascii="Calibri" w:eastAsia="Calibri" w:hAnsi="Calibri"/>
          <w:color w:val="000000"/>
          <w:spacing w:val="-1"/>
          <w:lang w:val="de-DE"/>
        </w:rPr>
        <w:t>i MS Patienten kürzlich beschriebene Subpopulation von T-Zellen, die ebenfalls CD20-positiv ist. Das vorliegende Projekt geht genau dieser Rolle der CD20</w:t>
      </w:r>
      <w:r>
        <w:rPr>
          <w:rFonts w:ascii="Calibri" w:eastAsia="Calibri" w:hAnsi="Calibri"/>
          <w:color w:val="000000"/>
          <w:spacing w:val="-1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T-Zellen nach, die (i) eine zytotoxische Aktivität aufweisen, (ii) im Liquor von MS-Patienten nachwei</w:t>
      </w:r>
      <w:r>
        <w:rPr>
          <w:rFonts w:ascii="Calibri" w:eastAsia="Calibri" w:hAnsi="Calibri"/>
          <w:color w:val="000000"/>
          <w:spacing w:val="-1"/>
          <w:lang w:val="de-DE"/>
        </w:rPr>
        <w:t>sbar sind und (iii) nach Stimulation mit ZNS-Antigenen eine hohe Proliferationsrate zeigen. Ziel dieser Arbeit soll es folglich sein, die Population der CD20</w:t>
      </w:r>
      <w:r>
        <w:rPr>
          <w:rFonts w:ascii="Calibri" w:eastAsia="Calibri" w:hAnsi="Calibri"/>
          <w:color w:val="000000"/>
          <w:spacing w:val="-1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T-Zellen bei MS-Patienten unter Therapie mit monoklonalen anti-CD20 Antiköpern bzw. einer Verglei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chstherapie, z.B.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Alemtuzumab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 xml:space="preserve"> (anti-CD52) oder Natalizumab (anti-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4-Integrin), hinsichtlich der Veränderung ihres Phänotyps und ihrer Funktion (zytotoxische Aktivität,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Zytokinsekretion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>, Migration) zu charakterisieren. Die Untersuchungen sollen sowohl vor B</w:t>
      </w:r>
      <w:r>
        <w:rPr>
          <w:rFonts w:ascii="Calibri" w:eastAsia="Calibri" w:hAnsi="Calibri"/>
          <w:color w:val="000000"/>
          <w:spacing w:val="-1"/>
          <w:lang w:val="de-DE"/>
        </w:rPr>
        <w:t>eginn der Therapie (Baseline), als auch unter Einfluss der Therapie und insbesondere nach Erholung der CD20</w:t>
      </w:r>
      <w:r>
        <w:rPr>
          <w:rFonts w:ascii="Calibri" w:eastAsia="Calibri" w:hAnsi="Calibri"/>
          <w:color w:val="000000"/>
          <w:spacing w:val="-1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Zellpopulationen (unmittelbar vor der Folgeinjektion des </w:t>
      </w:r>
      <w:proofErr w:type="spellStart"/>
      <w:r>
        <w:rPr>
          <w:rFonts w:ascii="Calibri" w:eastAsia="Calibri" w:hAnsi="Calibri"/>
          <w:color w:val="000000"/>
          <w:spacing w:val="-1"/>
          <w:lang w:val="de-DE"/>
        </w:rPr>
        <w:t>Biologikums</w:t>
      </w:r>
      <w:proofErr w:type="spellEnd"/>
      <w:r>
        <w:rPr>
          <w:rFonts w:ascii="Calibri" w:eastAsia="Calibri" w:hAnsi="Calibri"/>
          <w:color w:val="000000"/>
          <w:spacing w:val="-1"/>
          <w:lang w:val="de-DE"/>
        </w:rPr>
        <w:t xml:space="preserve">) durchgeführt werden, wobei in </w:t>
      </w:r>
      <w:proofErr w:type="spellStart"/>
      <w:r>
        <w:rPr>
          <w:rFonts w:ascii="Calibri" w:eastAsia="Calibri" w:hAnsi="Calibri"/>
          <w:i/>
          <w:color w:val="000000"/>
          <w:spacing w:val="-1"/>
          <w:lang w:val="de-DE"/>
        </w:rPr>
        <w:t>in</w:t>
      </w:r>
      <w:proofErr w:type="spellEnd"/>
      <w:r>
        <w:rPr>
          <w:rFonts w:ascii="Calibri" w:eastAsia="Calibri" w:hAnsi="Calibri"/>
          <w:i/>
          <w:color w:val="000000"/>
          <w:spacing w:val="-1"/>
          <w:lang w:val="de-DE"/>
        </w:rPr>
        <w:t xml:space="preserve"> vitro </w:t>
      </w:r>
      <w:r>
        <w:rPr>
          <w:rFonts w:ascii="Calibri" w:eastAsia="Calibri" w:hAnsi="Calibri"/>
          <w:color w:val="000000"/>
          <w:spacing w:val="-1"/>
          <w:lang w:val="de-DE"/>
        </w:rPr>
        <w:t>Studien ein besonderes Augenmerk auf d</w:t>
      </w:r>
      <w:r>
        <w:rPr>
          <w:rFonts w:ascii="Calibri" w:eastAsia="Calibri" w:hAnsi="Calibri"/>
          <w:color w:val="000000"/>
          <w:spacing w:val="-1"/>
          <w:lang w:val="de-DE"/>
        </w:rPr>
        <w:t>ie Interaktion von CD20</w:t>
      </w:r>
      <w:r>
        <w:rPr>
          <w:rFonts w:ascii="Calibri" w:eastAsia="Calibri" w:hAnsi="Calibri"/>
          <w:color w:val="000000"/>
          <w:spacing w:val="-1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B-Zellen und CD20</w:t>
      </w:r>
      <w:r>
        <w:rPr>
          <w:rFonts w:ascii="Calibri" w:eastAsia="Calibri" w:hAnsi="Calibri"/>
          <w:color w:val="000000"/>
          <w:spacing w:val="-1"/>
          <w:vertAlign w:val="superscript"/>
          <w:lang w:val="de-DE"/>
        </w:rPr>
        <w:t>+</w:t>
      </w:r>
      <w:r>
        <w:rPr>
          <w:rFonts w:ascii="Calibri" w:eastAsia="Calibri" w:hAnsi="Calibri"/>
          <w:color w:val="000000"/>
          <w:spacing w:val="-1"/>
          <w:lang w:val="de-DE"/>
        </w:rPr>
        <w:t xml:space="preserve"> T-Zellen gelegt wird.</w:t>
      </w:r>
    </w:p>
    <w:sectPr w:rsidR="00CB59C8">
      <w:type w:val="continuous"/>
      <w:pgSz w:w="11904" w:h="16843"/>
      <w:pgMar w:top="1240" w:right="1408" w:bottom="847" w:left="1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234F2"/>
    <w:multiLevelType w:val="multilevel"/>
    <w:tmpl w:val="EEC8F40E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25D7C"/>
    <w:multiLevelType w:val="multilevel"/>
    <w:tmpl w:val="445CD45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-3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9C8"/>
    <w:rsid w:val="00AF0291"/>
    <w:rsid w:val="00CB59C8"/>
    <w:rsid w:val="00E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47ED"/>
  <w15:docId w15:val="{445FA297-5FF0-4020-ACC5-AEF1D3B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rer. nat. Beena Punnamoottil</cp:lastModifiedBy>
  <cp:revision>3</cp:revision>
  <dcterms:created xsi:type="dcterms:W3CDTF">2021-01-12T12:41:00Z</dcterms:created>
  <dcterms:modified xsi:type="dcterms:W3CDTF">2021-01-12T12:43:00Z</dcterms:modified>
</cp:coreProperties>
</file>