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>
      <w:pPr>
        <w:widowControl w:val="0"/>
        <w:bidi w:val="0"/>
        <w:spacing w:line="1" w:lineRule="exact"/>
      </w:pPr>
    </w:p>
    <w:p>
      <w:pPr>
        <w:framePr w:wrap="none" w:vAnchor="page" w:hAnchor="page" w:x="3531" w:y="626"/>
        <w:widowControl w:val="0"/>
        <w:bidi w:val="0"/>
        <w:rPr>
          <w:sz w:val="2"/>
          <w:szCs w:val="2"/>
        </w:rPr>
      </w:pPr>
      <w:r>
        <w:drawing>
          <wp:inline>
            <wp:extent cx="3090545" cy="89027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300415" name="Picture 1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pBdr>
          <w:top w:val="single" w:sz="4" w:space="0" w:color="A8A8A8"/>
          <w:left w:val="single" w:sz="4" w:space="0" w:color="A8A8A8"/>
          <w:bottom w:val="single" w:sz="4" w:space="4" w:color="A8A8A8"/>
          <w:right w:val="single" w:sz="4" w:space="0" w:color="A8A8A8"/>
        </w:pBdr>
        <w:shd w:val="clear" w:color="auto" w:fill="A8A8A8"/>
        <w:bidi w:val="0"/>
        <w:spacing w:before="0" w:after="0" w:line="22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rtl w:val="0"/>
          <w:lang w:val="en-GB"/>
        </w:rPr>
        <w:t>Decision of the Dean’s office of the School of Medicine and Health Sciences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pBdr>
          <w:top w:val="single" w:sz="4" w:space="0" w:color="A8A8A8"/>
          <w:left w:val="single" w:sz="4" w:space="0" w:color="A8A8A8"/>
          <w:bottom w:val="single" w:sz="4" w:space="4" w:color="A8A8A8"/>
          <w:right w:val="single" w:sz="4" w:space="0" w:color="A8A8A8"/>
        </w:pBdr>
        <w:shd w:val="clear" w:color="auto" w:fill="A8A8A8"/>
        <w:tabs>
          <w:tab w:val="left" w:pos="6943"/>
        </w:tabs>
        <w:bidi w:val="0"/>
        <w:spacing w:before="0" w:after="148" w:line="22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rtl w:val="0"/>
          <w:lang w:val="en-GB"/>
        </w:rPr>
        <w:t>Decision 65/2019</w:t>
        <w:tab/>
        <w:t xml:space="preserve">20. </w:t>
      </w:r>
      <w:r>
        <w:rPr>
          <w:b/>
          <w:bCs/>
          <w:color w:val="000000"/>
          <w:spacing w:val="0"/>
          <w:w w:val="100"/>
          <w:position w:val="0"/>
          <w:rtl w:val="0"/>
          <w:lang w:val="en-GB"/>
        </w:rPr>
        <w:t>Meeting of 18/06/2019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shd w:val="clear" w:color="auto" w:fill="auto"/>
        <w:bidi w:val="0"/>
        <w:spacing w:before="0" w:after="220" w:line="22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rtl w:val="0"/>
          <w:lang w:val="en-GB"/>
        </w:rPr>
        <w:t>Compensation for committee work for university lecturers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rtl w:val="0"/>
          <w:lang w:val="en-GB"/>
        </w:rPr>
        <w:t>The Dean’s Office decides unanimously to supplement the compensation arrangement for committee work by university lecturers with the following committees: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numPr>
          <w:ilvl w:val="0"/>
          <w:numId w:val="1"/>
        </w:numPr>
        <w:shd w:val="clear" w:color="auto" w:fill="auto"/>
        <w:tabs>
          <w:tab w:val="left" w:pos="253"/>
        </w:tabs>
        <w:bidi w:val="0"/>
        <w:spacing w:before="0" w:after="0" w:line="221" w:lineRule="auto"/>
        <w:ind w:left="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  <w:rtl w:val="0"/>
          <w:lang w:val="en-GB"/>
        </w:rPr>
        <w:t>Study Commission- all members eligible to vote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numPr>
          <w:ilvl w:val="0"/>
          <w:numId w:val="1"/>
        </w:numPr>
        <w:shd w:val="clear" w:color="auto" w:fill="auto"/>
        <w:tabs>
          <w:tab w:val="left" w:pos="253"/>
        </w:tabs>
        <w:bidi w:val="0"/>
        <w:spacing w:before="0" w:after="0" w:line="221" w:lineRule="auto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  <w:rtl w:val="0"/>
          <w:lang w:val="en-GB"/>
        </w:rPr>
        <w:t>Interfaculty Study Commission – all members eligible to vote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numPr>
          <w:ilvl w:val="0"/>
          <w:numId w:val="1"/>
        </w:numPr>
        <w:shd w:val="clear" w:color="auto" w:fill="auto"/>
        <w:tabs>
          <w:tab w:val="left" w:pos="253"/>
        </w:tabs>
        <w:bidi w:val="0"/>
        <w:spacing w:before="0" w:after="0" w:line="221" w:lineRule="auto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  <w:rtl w:val="0"/>
          <w:lang w:val="en-GB"/>
        </w:rPr>
        <w:t>Examining boards - all members eligible to vote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numPr>
          <w:ilvl w:val="0"/>
          <w:numId w:val="1"/>
        </w:numPr>
        <w:shd w:val="clear" w:color="auto" w:fill="auto"/>
        <w:tabs>
          <w:tab w:val="left" w:pos="253"/>
        </w:tabs>
        <w:bidi w:val="0"/>
        <w:spacing w:before="0" w:after="500" w:line="221" w:lineRule="auto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  <w:rtl w:val="0"/>
          <w:lang w:val="en-GB"/>
        </w:rPr>
        <w:t>Standing Habilitation committee – Chair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54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rtl w:val="0"/>
          <w:lang w:val="en-GB"/>
        </w:rPr>
        <w:t>Decided (unanimously)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shd w:val="clear" w:color="auto" w:fill="auto"/>
        <w:tabs>
          <w:tab w:val="left" w:pos="6943"/>
        </w:tabs>
        <w:bidi w:val="0"/>
        <w:spacing w:before="0" w:after="0" w:line="22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rtl w:val="0"/>
          <w:lang w:val="en-GB"/>
        </w:rPr>
        <w:t>For informational purposes:</w:t>
        <w:tab/>
      </w:r>
      <w:r>
        <w:rPr>
          <w:b/>
          <w:bCs/>
          <w:color w:val="000000"/>
          <w:spacing w:val="0"/>
          <w:w w:val="100"/>
          <w:position w:val="0"/>
          <w:u w:val="single"/>
          <w:rtl w:val="0"/>
          <w:lang w:val="en-GB"/>
        </w:rPr>
        <w:t>On implementation of the decision:</w:t>
      </w:r>
    </w:p>
    <w:p>
      <w:pPr>
        <w:pStyle w:val="Flietext0"/>
        <w:keepNext w:val="0"/>
        <w:keepLines w:val="0"/>
        <w:framePr w:w="9566" w:h="4709" w:hRule="exact" w:wrap="none" w:vAnchor="page" w:hAnchor="page" w:x="819" w:y="2224"/>
        <w:widowControl w:val="0"/>
        <w:shd w:val="clear" w:color="auto" w:fill="auto"/>
        <w:tabs>
          <w:tab w:val="left" w:pos="7526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rtl w:val="0"/>
          <w:lang w:val="en-GB"/>
        </w:rPr>
        <w:t>Dr Nina Gaßmann</w:t>
        <w:tab/>
        <w:t>Dean's office</w:t>
      </w:r>
    </w:p>
    <w:p>
      <w:pPr>
        <w:widowControl w:val="0"/>
        <w:bidi w:val="0"/>
        <w:spacing w:line="1" w:lineRule="exact"/>
      </w:pPr>
    </w:p>
    <w:sect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2CEC85"/>
    <w:multiLevelType w:val="multilevel"/>
    <w:tmpl w:val="000000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Flietext">
    <w:name w:val="Fließtext_"/>
    <w:basedOn w:val="DefaultParagraphFont"/>
    <w:link w:val="Flietex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Flietext0">
    <w:name w:val="Fließtext"/>
    <w:basedOn w:val="Normal"/>
    <w:link w:val="Flietext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</dc:creator>
  <cp:revision>0</cp:revision>
</cp:coreProperties>
</file>