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>
      <w:pPr>
        <w:widowControl w:val="0"/>
        <w:bidi w:val="0"/>
        <w:spacing w:line="1" w:lineRule="exact"/>
      </w:pPr>
      <w:r>
        <w:drawing>
          <wp:anchor distT="0" distB="101600" distL="114300" distR="114300" simplePos="0" relativeHeight="251658240" behindDoc="0" locked="0" layoutInCell="1" allowOverlap="1">
            <wp:simplePos x="0" y="0"/>
            <wp:positionH relativeFrom="page">
              <wp:posOffset>1750060</wp:posOffset>
            </wp:positionH>
            <wp:positionV relativeFrom="paragraph">
              <wp:posOffset>12700</wp:posOffset>
            </wp:positionV>
            <wp:extent cx="4480560" cy="1146175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Flietext2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  <w:rtl w:val="0"/>
          <w:lang w:val="en-GB"/>
        </w:rPr>
        <w:t>Compensation arrangement for committee work by university lecturers</w:t>
      </w:r>
    </w:p>
    <w:p>
      <w:pPr>
        <w:pStyle w:val="Flietext0"/>
        <w:keepNext w:val="0"/>
        <w:keepLines w:val="0"/>
        <w:widowControl w:val="0"/>
        <w:shd w:val="clear" w:color="auto" w:fill="auto"/>
        <w:bidi w:val="0"/>
        <w:spacing w:before="0" w:after="260" w:line="29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rtl w:val="0"/>
          <w:lang w:val="en-GB"/>
        </w:rPr>
        <w:t xml:space="preserve">School VI is in a process of development and expansion, and this requires extra efforts from its members and committee members in self-administration committees. </w:t>
      </w:r>
      <w:r>
        <w:rPr>
          <w:color w:val="000000"/>
          <w:spacing w:val="0"/>
          <w:w w:val="100"/>
          <w:position w:val="0"/>
          <w:u w:val="single"/>
          <w:rtl w:val="0"/>
          <w:lang w:val="en-GB"/>
        </w:rPr>
        <w:t>On 01/07/2019</w:t>
      </w:r>
      <w:r>
        <w:rPr>
          <w:color w:val="000000"/>
          <w:spacing w:val="0"/>
          <w:w w:val="100"/>
          <w:position w:val="0"/>
          <w:rtl w:val="0"/>
          <w:lang w:val="en-GB"/>
        </w:rPr>
        <w:t xml:space="preserve"> the following compensation arrangement was introduced for university lecturers who are particularly involved in committee work. </w:t>
      </w:r>
      <w:r>
        <w:rPr>
          <w:color w:val="000000"/>
          <w:spacing w:val="0"/>
          <w:w w:val="100"/>
          <w:position w:val="0"/>
          <w:rtl w:val="0"/>
          <w:lang w:val="en-GB"/>
        </w:rPr>
        <w:t>This compensation arrangement applies until a faculty-wide performance related resource allocation (LOM) is introduced, but for no longer than two years.</w:t>
      </w:r>
    </w:p>
    <w:tbl>
      <w:tblPr>
        <w:tblOverlap w:val="never"/>
        <w:jc w:val="center"/>
        <w:tblLayout w:type="fixed"/>
        <w:tblCellMar>
          <w:left w:w="10" w:type="dxa"/>
          <w:right w:w="10" w:type="dxa"/>
        </w:tblCellMar>
      </w:tblPr>
      <w:tblGrid>
        <w:gridCol w:w="1646"/>
        <w:gridCol w:w="7301"/>
      </w:tblGrid>
      <w:tr>
        <w:tblPrEx>
          <w:jc w:val="center"/>
          <w:tblLayout w:type="fixed"/>
          <w:tblCellMar>
            <w:left w:w="10" w:type="dxa"/>
            <w:right w:w="10" w:type="dxa"/>
          </w:tblCellMar>
        </w:tblPrEx>
        <w:trPr>
          <w:trHeight w:hRule="exact" w:val="442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top"/>
          </w:tcPr>
          <w:p>
            <w:pPr>
              <w:pStyle w:val="Andere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rtl w:val="0"/>
                <w:lang w:val="en-GB"/>
              </w:rPr>
              <w:t>Who?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top"/>
          </w:tcPr>
          <w:p>
            <w:pPr>
              <w:pStyle w:val="Andere0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8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rtl w:val="0"/>
                <w:lang w:val="en-GB"/>
              </w:rPr>
              <w:t>University lecturers who collaborate in at least four of the next bodies (including at least three different types of bodies) within one semester:</w:t>
            </w:r>
          </w:p>
          <w:p>
            <w:pPr>
              <w:pStyle w:val="Andere0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820"/>
              </w:tabs>
              <w:bidi w:val="0"/>
              <w:spacing w:before="0" w:after="60" w:line="271" w:lineRule="exact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rtl w:val="0"/>
                <w:lang w:val="en-GB"/>
              </w:rPr>
              <w:t>University Senate - as member eligible to vote</w:t>
            </w:r>
          </w:p>
          <w:p>
            <w:pPr>
              <w:pStyle w:val="Andere0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825"/>
              </w:tabs>
              <w:bidi w:val="0"/>
              <w:spacing w:before="0" w:after="60" w:line="271" w:lineRule="exact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rtl w:val="0"/>
                <w:lang w:val="en-GB"/>
              </w:rPr>
              <w:t>Faculty Council – as member eligible to vote</w:t>
            </w:r>
          </w:p>
          <w:p>
            <w:pPr>
              <w:pStyle w:val="Andere0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825"/>
              </w:tabs>
              <w:bidi w:val="0"/>
              <w:spacing w:before="0" w:after="60" w:line="271" w:lineRule="exact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rtl w:val="0"/>
                <w:lang w:val="en-GB"/>
              </w:rPr>
              <w:t>Dean’s office – as member eligible to vote</w:t>
            </w:r>
          </w:p>
          <w:p>
            <w:pPr>
              <w:pStyle w:val="Andere0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825"/>
              </w:tabs>
              <w:bidi w:val="0"/>
              <w:spacing w:before="0" w:after="60" w:line="271" w:lineRule="exact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rtl w:val="0"/>
                <w:lang w:val="en-GB"/>
              </w:rPr>
              <w:t>Appointments committees</w:t>
            </w:r>
            <w:r>
              <w:fldChar w:fldCharType="begin"/>
            </w:r>
            <w:r>
              <w:instrText xml:space="preserve"> HYPERLINK \l "bookmark0" \o "Current Document"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footnoteReference w:id="2"/>
            </w:r>
            <w:r>
              <w:rPr>
                <w:color w:val="000000"/>
                <w:spacing w:val="0"/>
                <w:w w:val="100"/>
                <w:position w:val="0"/>
                <w:rtl w:val="0"/>
                <w:lang w:val="en-GB"/>
              </w:rPr>
              <w:t xml:space="preserve"> 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rtl w:val="0"/>
                <w:lang w:val="en-GB"/>
              </w:rPr>
              <w:t>– as member eligible to vote</w:t>
            </w:r>
          </w:p>
          <w:p>
            <w:pPr>
              <w:pStyle w:val="Andere0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825"/>
              </w:tabs>
              <w:bidi w:val="0"/>
              <w:spacing w:before="0" w:after="60" w:line="271" w:lineRule="exact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rtl w:val="0"/>
                <w:lang w:val="en-GB"/>
              </w:rPr>
              <w:t>Head of Department – as Department Director</w:t>
            </w:r>
          </w:p>
          <w:p>
            <w:pPr>
              <w:pStyle w:val="Andere0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825"/>
              </w:tabs>
              <w:bidi w:val="0"/>
              <w:spacing w:before="0" w:after="60" w:line="271" w:lineRule="exact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rtl w:val="0"/>
                <w:lang w:val="en-GB"/>
              </w:rPr>
              <w:t>Doctorate committee – as Chair</w:t>
            </w:r>
          </w:p>
          <w:p>
            <w:pPr>
              <w:pStyle w:val="Andere0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825"/>
              </w:tabs>
              <w:bidi w:val="0"/>
              <w:spacing w:before="0" w:after="60" w:line="254" w:lineRule="exact"/>
              <w:ind w:left="820" w:right="0" w:hanging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rtl w:val="0"/>
                <w:lang w:val="en-GB"/>
              </w:rPr>
              <w:t>Medical ethics commission – as member eligible to vote</w:t>
            </w:r>
          </w:p>
          <w:p>
            <w:pPr>
              <w:pStyle w:val="Andere0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825"/>
              </w:tabs>
              <w:bidi w:val="0"/>
              <w:spacing w:before="0" w:after="60" w:line="254" w:lineRule="exact"/>
              <w:ind w:left="820" w:right="0" w:hanging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rtl w:val="0"/>
                <w:lang w:val="en-GB"/>
              </w:rPr>
              <w:t>Research Committee – as chair or member eligible to vote</w:t>
            </w:r>
          </w:p>
        </w:tc>
      </w:tr>
      <w:tr>
        <w:tblPrEx>
          <w:jc w:val="center"/>
          <w:tblLayout w:type="fixed"/>
          <w:tblCellMar>
            <w:left w:w="10" w:type="dxa"/>
            <w:right w:w="10" w:type="dxa"/>
          </w:tblCellMar>
        </w:tblPrEx>
        <w:trPr>
          <w:trHeight w:hRule="exact" w:val="71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top"/>
          </w:tcPr>
          <w:p>
            <w:pPr>
              <w:pStyle w:val="Andere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rtl w:val="0"/>
                <w:lang w:val="en-GB"/>
              </w:rPr>
              <w:t>What?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Andere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rtl w:val="0"/>
                <w:lang w:val="en-GB"/>
              </w:rPr>
              <w:t xml:space="preserve">Compensation amounting to </w:t>
            </w:r>
            <w:r>
              <w:rPr>
                <w:color w:val="000000"/>
                <w:spacing w:val="0"/>
                <w:w w:val="100"/>
                <w:position w:val="0"/>
                <w:rtl w:val="0"/>
                <w:lang w:val="en-GB"/>
              </w:rPr>
              <w:t>EUR 2,000 can be applied for as a materials budget for the previous semester.</w:t>
            </w:r>
          </w:p>
        </w:tc>
      </w:tr>
      <w:tr>
        <w:tblPrEx>
          <w:jc w:val="center"/>
          <w:tblLayout w:type="fixed"/>
          <w:tblCellMar>
            <w:left w:w="10" w:type="dxa"/>
            <w:right w:w="10" w:type="dxa"/>
          </w:tblCellMar>
        </w:tblPrEx>
        <w:trPr>
          <w:trHeight w:hRule="exact" w:val="177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top"/>
          </w:tcPr>
          <w:p>
            <w:pPr>
              <w:pStyle w:val="Andere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rtl w:val="0"/>
                <w:lang w:val="en-GB"/>
              </w:rPr>
              <w:t>How?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top"/>
          </w:tcPr>
          <w:p>
            <w:pPr>
              <w:pStyle w:val="Andere0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90" w:lineRule="exact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rtl w:val="0"/>
                <w:lang w:val="en-GB"/>
              </w:rPr>
              <w:t>Compensation for the previous semester can be applied for in writing to the Dean’s office up to 4 weeks after the end of the semester</w:t>
            </w:r>
            <w:r>
              <w:fldChar w:fldCharType="begin"/>
            </w:r>
            <w:r>
              <w:instrText xml:space="preserve"> HYPERLINK \l "bookmark1" \o "Current Document"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footnoteReference w:id="3"/>
            </w:r>
            <w:r>
              <w:rPr>
                <w:color w:val="000000"/>
                <w:spacing w:val="0"/>
                <w:w w:val="100"/>
                <w:position w:val="0"/>
                <w:rtl w:val="0"/>
                <w:lang w:val="en-GB"/>
              </w:rPr>
              <w:t xml:space="preserve"> 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rtl w:val="0"/>
                <w:lang w:val="en-GB"/>
              </w:rPr>
              <w:t xml:space="preserve">, listing the bodies concerned, </w:t>
            </w:r>
            <w:r>
              <w:fldChar w:fldCharType="begin"/>
            </w:r>
            <w:r>
              <w:instrText xml:space="preserve"> HYPERLINK "mailto:dekan.medizin@uol.de"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rtl w:val="0"/>
                <w:lang w:val="en-GB"/>
              </w:rPr>
              <w:t>(</w:t>
            </w:r>
            <w:r>
              <w:rPr>
                <w:color w:val="0000FF"/>
                <w:spacing w:val="0"/>
                <w:w w:val="100"/>
                <w:position w:val="0"/>
                <w:rtl w:val="0"/>
                <w:lang w:val="en-GB"/>
              </w:rPr>
              <w:t>at dekan.medizin@uol.de</w:t>
            </w:r>
            <w:r>
              <w:rPr>
                <w:color w:val="000000"/>
                <w:spacing w:val="0"/>
                <w:w w:val="100"/>
                <w:position w:val="0"/>
                <w:rtl w:val="0"/>
                <w:lang w:val="en-GB"/>
              </w:rPr>
              <w:t>)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rtl w:val="0"/>
                <w:lang w:val="en-GB"/>
              </w:rPr>
              <w:t>.</w:t>
            </w:r>
          </w:p>
          <w:p>
            <w:pPr>
              <w:pStyle w:val="Andere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rtl w:val="0"/>
                <w:lang w:val="en-GB"/>
              </w:rPr>
              <w:t>Proof of participation in the committee meetings is provided by the applicant.</w:t>
            </w:r>
          </w:p>
        </w:tc>
      </w:tr>
    </w:tbl>
    <w:p>
      <w:pPr>
        <w:bidi w:val="0"/>
      </w:pPr>
    </w:p>
    <w:sectPr>
      <w:pgSz w:w="11900" w:h="16840"/>
      <w:pgMar w:top="591" w:right="1656" w:bottom="591" w:left="1297" w:header="163" w:footer="163" w:gutter="0"/>
      <w:pgNumType w:start="1"/>
      <w:cols w:space="720"/>
      <w:noEndnote/>
      <w:rtlGutter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  <w:footnote w:id="2">
    <w:p>
      <w:pPr>
        <w:pStyle w:val="Funote0"/>
        <w:keepNext w:val="0"/>
        <w:keepLines w:val="0"/>
        <w:widowControl w:val="0"/>
        <w:shd w:val="clear" w:color="auto" w:fill="auto"/>
        <w:tabs>
          <w:tab w:val="left" w:pos="125"/>
        </w:tabs>
        <w:bidi w:val="0"/>
        <w:spacing w:before="0" w:after="0" w:line="254" w:lineRule="exact"/>
        <w:ind w:left="0" w:right="0" w:firstLine="0"/>
        <w:jc w:val="left"/>
      </w:pPr>
      <w:bookmarkStart w:id="0" w:name="bookmark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rtl w:val="0"/>
          <w:lang w:val="en-GB"/>
        </w:rPr>
        <w:tab/>
      </w:r>
      <w:r>
        <w:rPr>
          <w:color w:val="000000"/>
          <w:spacing w:val="0"/>
          <w:w w:val="100"/>
          <w:position w:val="0"/>
          <w:rtl w:val="0"/>
          <w:lang w:val="en-GB"/>
        </w:rPr>
        <w:t>The semester in which the first meeting of the appointments committee takes place will be taken into account</w:t>
      </w:r>
      <w:bookmarkEnd w:id="0"/>
    </w:p>
  </w:footnote>
  <w:footnote w:id="3">
    <w:p>
      <w:pPr>
        <w:pStyle w:val="Funote0"/>
        <w:keepNext w:val="0"/>
        <w:keepLines w:val="0"/>
        <w:widowControl w:val="0"/>
        <w:shd w:val="clear" w:color="auto" w:fill="auto"/>
        <w:tabs>
          <w:tab w:val="left" w:pos="125"/>
        </w:tabs>
        <w:bidi w:val="0"/>
        <w:spacing w:before="0" w:after="0" w:line="240" w:lineRule="auto"/>
        <w:ind w:left="0" w:right="0" w:firstLine="0"/>
        <w:jc w:val="left"/>
      </w:pPr>
      <w:bookmarkStart w:id="1" w:name="bookmark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rtl w:val="0"/>
          <w:lang w:val="en-GB"/>
        </w:rPr>
        <w:tab/>
      </w:r>
      <w:r>
        <w:rPr>
          <w:color w:val="000000"/>
          <w:spacing w:val="0"/>
          <w:w w:val="100"/>
          <w:position w:val="0"/>
          <w:rtl w:val="0"/>
          <w:lang w:val="en-GB"/>
        </w:rPr>
        <w:t>End of semester on 31/03 und 30/09 each year</w:t>
      </w:r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C93B093"/>
    <w:multiLevelType w:val="multilevel"/>
    <w:tmpl w:val="000000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de-DE" w:eastAsia="de-DE" w:bidi="de-DE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note">
    <w:name w:val="Fußnote_"/>
    <w:basedOn w:val="DefaultParagraphFont"/>
    <w:link w:val="Funote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Flietext2">
    <w:name w:val="Fließtext (2)_"/>
    <w:basedOn w:val="DefaultParagraphFont"/>
    <w:link w:val="Flietext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  <w:shd w:val="clear" w:color="auto" w:fill="auto"/>
    </w:rPr>
  </w:style>
  <w:style w:type="character" w:customStyle="1" w:styleId="Flietext">
    <w:name w:val="Fließtext_"/>
    <w:basedOn w:val="DefaultParagraphFont"/>
    <w:link w:val="Flietext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ndere">
    <w:name w:val="Andere_"/>
    <w:basedOn w:val="DefaultParagraphFont"/>
    <w:link w:val="Andere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Funote0">
    <w:name w:val="Fußnote"/>
    <w:basedOn w:val="Normal"/>
    <w:link w:val="Funote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Flietext20">
    <w:name w:val="Fließtext (2)"/>
    <w:basedOn w:val="Normal"/>
    <w:link w:val="Flietext2"/>
    <w:pPr>
      <w:widowControl w:val="0"/>
      <w:shd w:val="clear" w:color="auto" w:fill="auto"/>
      <w:spacing w:after="3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  <w:shd w:val="clear" w:color="auto" w:fill="auto"/>
    </w:rPr>
  </w:style>
  <w:style w:type="paragraph" w:customStyle="1" w:styleId="Flietext0">
    <w:name w:val="Fließtext"/>
    <w:basedOn w:val="Normal"/>
    <w:link w:val="Flietext"/>
    <w:pPr>
      <w:widowControl w:val="0"/>
      <w:shd w:val="clear" w:color="auto" w:fill="auto"/>
      <w:spacing w:after="24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Andere0">
    <w:name w:val="Andere"/>
    <w:basedOn w:val="Normal"/>
    <w:link w:val="Andere"/>
    <w:pPr>
      <w:widowControl w:val="0"/>
      <w:shd w:val="clear" w:color="auto" w:fill="auto"/>
      <w:spacing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jpeg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tif</dc:title>
  <cp:revision>0</cp:revision>
</cp:coreProperties>
</file>